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B47C5" w14:textId="09D202ED" w:rsidR="00851307" w:rsidRDefault="00851307" w:rsidP="00601A31">
      <w:pPr>
        <w:jc w:val="center"/>
        <w:rPr>
          <w:sz w:val="20"/>
          <w:szCs w:val="20"/>
        </w:rPr>
      </w:pPr>
    </w:p>
    <w:p w14:paraId="61627AC4" w14:textId="77777777" w:rsidR="00851307" w:rsidRDefault="00851307" w:rsidP="00851307">
      <w:pPr>
        <w:jc w:val="center"/>
        <w:rPr>
          <w:sz w:val="20"/>
          <w:szCs w:val="20"/>
          <w:lang w:val="en-CA"/>
        </w:rPr>
      </w:pPr>
    </w:p>
    <w:p w14:paraId="1A0C91CA" w14:textId="77777777" w:rsidR="00851307" w:rsidRPr="00FD5E49" w:rsidRDefault="00851307" w:rsidP="00851307">
      <w:pPr>
        <w:jc w:val="center"/>
        <w:rPr>
          <w:rFonts w:ascii="Arial" w:hAnsi="Arial" w:cs="Arial"/>
          <w:b/>
          <w:bCs/>
          <w:sz w:val="20"/>
          <w:szCs w:val="20"/>
          <w:lang w:val="en-CA"/>
        </w:rPr>
      </w:pPr>
      <w:r>
        <w:rPr>
          <w:noProof/>
          <w:sz w:val="20"/>
          <w:szCs w:val="20"/>
        </w:rPr>
        <w:drawing>
          <wp:inline distT="0" distB="0" distL="0" distR="0" wp14:anchorId="760BD78F" wp14:editId="3F596DE1">
            <wp:extent cx="508635" cy="434340"/>
            <wp:effectExtent l="0" t="0" r="5715" b="3810"/>
            <wp:docPr id="3" name="Image 2"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 cy="434340"/>
                    </a:xfrm>
                    <a:prstGeom prst="rect">
                      <a:avLst/>
                    </a:prstGeom>
                    <a:noFill/>
                    <a:ln>
                      <a:noFill/>
                    </a:ln>
                  </pic:spPr>
                </pic:pic>
              </a:graphicData>
            </a:graphic>
          </wp:inline>
        </w:drawing>
      </w:r>
      <w:r w:rsidRPr="00FD5E49">
        <w:rPr>
          <w:sz w:val="20"/>
          <w:szCs w:val="20"/>
          <w:lang w:val="en-CA"/>
        </w:rPr>
        <w:t xml:space="preserve">            </w:t>
      </w:r>
      <w:r w:rsidRPr="00FD5E49">
        <w:rPr>
          <w:rFonts w:ascii="Times New Roman" w:hAnsi="Times New Roman" w:cs="Times New Roman"/>
          <w:b/>
          <w:bCs/>
          <w:sz w:val="28"/>
          <w:szCs w:val="28"/>
          <w:lang w:val="en-CA"/>
        </w:rPr>
        <w:t>CASSELMAN PUBLIC LIBRARY</w:t>
      </w:r>
      <w:r w:rsidRPr="00FD5E49">
        <w:rPr>
          <w:rFonts w:ascii="Arial" w:hAnsi="Arial" w:cs="Arial"/>
          <w:b/>
          <w:bCs/>
          <w:sz w:val="20"/>
          <w:szCs w:val="20"/>
          <w:lang w:val="en-CA"/>
        </w:rPr>
        <w:t xml:space="preserve">    </w:t>
      </w:r>
      <w:r>
        <w:rPr>
          <w:b/>
          <w:noProof/>
          <w:sz w:val="20"/>
          <w:szCs w:val="20"/>
        </w:rPr>
        <w:drawing>
          <wp:inline distT="0" distB="0" distL="0" distR="0" wp14:anchorId="64D91DFD" wp14:editId="78605729">
            <wp:extent cx="382905" cy="44005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 cy="440055"/>
                    </a:xfrm>
                    <a:prstGeom prst="rect">
                      <a:avLst/>
                    </a:prstGeom>
                    <a:noFill/>
                    <a:ln>
                      <a:noFill/>
                    </a:ln>
                  </pic:spPr>
                </pic:pic>
              </a:graphicData>
            </a:graphic>
          </wp:inline>
        </w:drawing>
      </w:r>
    </w:p>
    <w:p w14:paraId="6F41AB07" w14:textId="77777777" w:rsidR="00851307" w:rsidRDefault="00851307" w:rsidP="00851307">
      <w:pPr>
        <w:pStyle w:val="NoSpacing"/>
        <w:jc w:val="center"/>
        <w:rPr>
          <w:rStyle w:val="SubtleEmphasis"/>
          <w:sz w:val="16"/>
          <w:szCs w:val="16"/>
          <w:lang w:val="en-CA"/>
        </w:rPr>
      </w:pPr>
      <w:r>
        <w:rPr>
          <w:rStyle w:val="SubtleEmphasis"/>
          <w:b/>
          <w:sz w:val="16"/>
          <w:szCs w:val="16"/>
          <w:lang w:val="en-CA"/>
        </w:rPr>
        <w:t>764, BRÉBEUF St., P.O. Box 340</w:t>
      </w:r>
    </w:p>
    <w:p w14:paraId="454B11AC" w14:textId="77777777" w:rsidR="00851307" w:rsidRDefault="00851307" w:rsidP="00851307">
      <w:pPr>
        <w:pStyle w:val="NoSpacing"/>
        <w:jc w:val="center"/>
        <w:rPr>
          <w:rStyle w:val="SubtleEmphasis"/>
          <w:b/>
          <w:sz w:val="16"/>
          <w:szCs w:val="16"/>
          <w:lang w:val="en-CA"/>
        </w:rPr>
      </w:pPr>
      <w:r>
        <w:rPr>
          <w:rStyle w:val="SubtleEmphasis"/>
          <w:b/>
          <w:sz w:val="16"/>
          <w:szCs w:val="16"/>
          <w:lang w:val="en-CA"/>
        </w:rPr>
        <w:t>CASSELMAN, ON</w:t>
      </w:r>
    </w:p>
    <w:p w14:paraId="6BF1BD23" w14:textId="77777777" w:rsidR="00851307" w:rsidRDefault="00851307" w:rsidP="00851307">
      <w:pPr>
        <w:pStyle w:val="NoSpacing"/>
        <w:jc w:val="center"/>
        <w:rPr>
          <w:rStyle w:val="SubtleEmphasis"/>
          <w:b/>
          <w:sz w:val="16"/>
          <w:szCs w:val="16"/>
          <w:lang w:val="en-CA"/>
        </w:rPr>
      </w:pPr>
      <w:r>
        <w:rPr>
          <w:rStyle w:val="SubtleEmphasis"/>
          <w:b/>
          <w:sz w:val="16"/>
          <w:szCs w:val="16"/>
          <w:lang w:val="en-CA"/>
        </w:rPr>
        <w:t>K0A 1M0</w:t>
      </w:r>
    </w:p>
    <w:p w14:paraId="33F1D6C2" w14:textId="77777777" w:rsidR="00851307" w:rsidRPr="00893328" w:rsidRDefault="00851307" w:rsidP="00851307">
      <w:pPr>
        <w:pStyle w:val="NoSpacing"/>
        <w:jc w:val="center"/>
        <w:rPr>
          <w:b/>
          <w:i/>
          <w:iCs/>
          <w:color w:val="808080" w:themeColor="text1" w:themeTint="7F"/>
          <w:sz w:val="16"/>
          <w:szCs w:val="16"/>
          <w:lang w:val="en-CA"/>
        </w:rPr>
      </w:pPr>
      <w:r>
        <w:rPr>
          <w:rStyle w:val="SubtleEmphasis"/>
          <w:b/>
          <w:sz w:val="16"/>
          <w:szCs w:val="16"/>
          <w:lang w:val="en-CA"/>
        </w:rPr>
        <w:t>Tel : 613-764-5505  Fax : 613-764-5507</w:t>
      </w:r>
      <w:r>
        <w:rPr>
          <w:rStyle w:val="SubtleEmphasis"/>
          <w:b/>
          <w:sz w:val="16"/>
          <w:szCs w:val="16"/>
          <w:lang w:val="en-CA"/>
        </w:rPr>
        <w:br/>
      </w:r>
    </w:p>
    <w:p w14:paraId="5FC8B1CF" w14:textId="77777777" w:rsidR="00851307" w:rsidRPr="003D5D07" w:rsidRDefault="00851307" w:rsidP="00851307">
      <w:pPr>
        <w:pStyle w:val="NoSpacing"/>
        <w:jc w:val="center"/>
        <w:rPr>
          <w:rStyle w:val="SubtleEmphasis"/>
          <w:b/>
          <w:sz w:val="16"/>
          <w:szCs w:val="16"/>
          <w:lang w:val="en-CA"/>
        </w:rPr>
      </w:pPr>
    </w:p>
    <w:p w14:paraId="315A2A2B" w14:textId="77777777" w:rsidR="00851307" w:rsidRPr="003D5D07" w:rsidRDefault="00851307" w:rsidP="00851307">
      <w:pPr>
        <w:pBdr>
          <w:top w:val="single" w:sz="4" w:space="1" w:color="auto"/>
        </w:pBdr>
        <w:rPr>
          <w:rFonts w:ascii="Arial Narrow" w:hAnsi="Arial Narrow"/>
          <w:lang w:val="en-CA"/>
        </w:rPr>
      </w:pPr>
    </w:p>
    <w:tbl>
      <w:tblPr>
        <w:tblW w:w="9828" w:type="dxa"/>
        <w:tblLook w:val="04A0" w:firstRow="1" w:lastRow="0" w:firstColumn="1" w:lastColumn="0" w:noHBand="0" w:noVBand="1"/>
      </w:tblPr>
      <w:tblGrid>
        <w:gridCol w:w="1638"/>
        <w:gridCol w:w="3150"/>
        <w:gridCol w:w="2880"/>
        <w:gridCol w:w="2160"/>
      </w:tblGrid>
      <w:tr w:rsidR="00851307" w:rsidRPr="00442EB1" w14:paraId="2D006979" w14:textId="77777777" w:rsidTr="00E37354">
        <w:tc>
          <w:tcPr>
            <w:tcW w:w="1638" w:type="dxa"/>
          </w:tcPr>
          <w:p w14:paraId="6B107089" w14:textId="77777777" w:rsidR="00851307" w:rsidRPr="00442EB1" w:rsidRDefault="00851307" w:rsidP="00E37354">
            <w:pPr>
              <w:rPr>
                <w:rFonts w:ascii="Arial Narrow" w:hAnsi="Arial Narrow"/>
                <w:color w:val="000000" w:themeColor="text1"/>
              </w:rPr>
            </w:pPr>
            <w:r w:rsidRPr="00442EB1">
              <w:rPr>
                <w:rFonts w:ascii="Arial Narrow" w:hAnsi="Arial Narrow"/>
                <w:color w:val="000000" w:themeColor="text1"/>
              </w:rPr>
              <w:t>Policy Type:</w:t>
            </w:r>
          </w:p>
        </w:tc>
        <w:tc>
          <w:tcPr>
            <w:tcW w:w="3150" w:type="dxa"/>
          </w:tcPr>
          <w:p w14:paraId="70BA2B75" w14:textId="77777777" w:rsidR="00851307" w:rsidRPr="00235777" w:rsidRDefault="00851307" w:rsidP="00E37354">
            <w:pPr>
              <w:rPr>
                <w:rFonts w:ascii="Arial Narrow" w:hAnsi="Arial Narrow"/>
                <w:bCs/>
                <w:color w:val="000000" w:themeColor="text1"/>
              </w:rPr>
            </w:pPr>
            <w:r>
              <w:rPr>
                <w:rFonts w:ascii="Arial Narrow" w:hAnsi="Arial Narrow"/>
                <w:bCs/>
                <w:color w:val="000000" w:themeColor="text1"/>
              </w:rPr>
              <w:t>Governance</w:t>
            </w:r>
          </w:p>
        </w:tc>
        <w:tc>
          <w:tcPr>
            <w:tcW w:w="2880" w:type="dxa"/>
          </w:tcPr>
          <w:p w14:paraId="312212BA" w14:textId="77777777" w:rsidR="00851307" w:rsidRPr="00442EB1" w:rsidRDefault="00851307" w:rsidP="00E37354">
            <w:pPr>
              <w:rPr>
                <w:rFonts w:ascii="Arial Narrow" w:hAnsi="Arial Narrow"/>
                <w:color w:val="000000" w:themeColor="text1"/>
              </w:rPr>
            </w:pPr>
            <w:r w:rsidRPr="00442EB1">
              <w:rPr>
                <w:rFonts w:ascii="Arial Narrow" w:hAnsi="Arial Narrow"/>
                <w:color w:val="000000" w:themeColor="text1"/>
              </w:rPr>
              <w:t>Policy Number:</w:t>
            </w:r>
          </w:p>
        </w:tc>
        <w:tc>
          <w:tcPr>
            <w:tcW w:w="2160" w:type="dxa"/>
          </w:tcPr>
          <w:p w14:paraId="033540B7" w14:textId="55960E80" w:rsidR="00851307" w:rsidRPr="00235777" w:rsidRDefault="00851307" w:rsidP="00E37354">
            <w:pPr>
              <w:rPr>
                <w:rFonts w:ascii="Arial Narrow" w:hAnsi="Arial Narrow"/>
                <w:bCs/>
                <w:color w:val="000000" w:themeColor="text1"/>
              </w:rPr>
            </w:pPr>
            <w:r>
              <w:rPr>
                <w:rFonts w:ascii="Arial Narrow" w:hAnsi="Arial Narrow"/>
                <w:bCs/>
                <w:color w:val="000000" w:themeColor="text1"/>
              </w:rPr>
              <w:t>GOV-03</w:t>
            </w:r>
          </w:p>
        </w:tc>
      </w:tr>
      <w:tr w:rsidR="00851307" w:rsidRPr="00893328" w14:paraId="19F21631" w14:textId="77777777" w:rsidTr="00E37354">
        <w:tc>
          <w:tcPr>
            <w:tcW w:w="1638" w:type="dxa"/>
          </w:tcPr>
          <w:p w14:paraId="03DB1B42" w14:textId="77777777" w:rsidR="00851307" w:rsidRPr="00442EB1" w:rsidRDefault="00851307" w:rsidP="00E37354">
            <w:pPr>
              <w:rPr>
                <w:rFonts w:ascii="Arial Narrow" w:hAnsi="Arial Narrow"/>
                <w:color w:val="000000" w:themeColor="text1"/>
              </w:rPr>
            </w:pPr>
            <w:r w:rsidRPr="00442EB1">
              <w:rPr>
                <w:rFonts w:ascii="Arial Narrow" w:hAnsi="Arial Narrow"/>
                <w:color w:val="000000" w:themeColor="text1"/>
              </w:rPr>
              <w:t>Policy Title:</w:t>
            </w:r>
          </w:p>
        </w:tc>
        <w:tc>
          <w:tcPr>
            <w:tcW w:w="3150" w:type="dxa"/>
          </w:tcPr>
          <w:p w14:paraId="07B1645C" w14:textId="370ADE7A" w:rsidR="00851307" w:rsidRPr="002345ED" w:rsidRDefault="00851307" w:rsidP="00E37354">
            <w:pPr>
              <w:rPr>
                <w:rFonts w:ascii="Arial Narrow" w:hAnsi="Arial Narrow"/>
                <w:color w:val="000000" w:themeColor="text1"/>
                <w:lang w:val="en-CA"/>
              </w:rPr>
            </w:pPr>
            <w:r>
              <w:rPr>
                <w:rFonts w:ascii="Arial Narrow" w:hAnsi="Arial Narrow"/>
                <w:color w:val="000000" w:themeColor="text1"/>
                <w:lang w:val="en-CA"/>
              </w:rPr>
              <w:t>Duties and Responsibilities of Individual Board Members</w:t>
            </w:r>
          </w:p>
        </w:tc>
        <w:tc>
          <w:tcPr>
            <w:tcW w:w="2880" w:type="dxa"/>
          </w:tcPr>
          <w:p w14:paraId="3B63C56F" w14:textId="77777777" w:rsidR="00851307" w:rsidRPr="00235777" w:rsidRDefault="00851307" w:rsidP="00E37354">
            <w:pPr>
              <w:rPr>
                <w:rFonts w:ascii="Arial Narrow" w:hAnsi="Arial Narrow"/>
                <w:color w:val="000000" w:themeColor="text1"/>
                <w:lang w:val="en-CA"/>
              </w:rPr>
            </w:pPr>
            <w:r w:rsidRPr="00235777">
              <w:rPr>
                <w:rFonts w:ascii="Arial Narrow" w:hAnsi="Arial Narrow"/>
                <w:color w:val="000000" w:themeColor="text1"/>
                <w:lang w:val="en-CA"/>
              </w:rPr>
              <w:t xml:space="preserve">Initial Policy Approval Date:  </w:t>
            </w:r>
            <w:r>
              <w:rPr>
                <w:rFonts w:ascii="Arial Narrow" w:hAnsi="Arial Narrow"/>
                <w:color w:val="000000" w:themeColor="text1"/>
                <w:lang w:val="en-CA"/>
              </w:rPr>
              <w:br/>
              <w:t>June 22nd, 2017</w:t>
            </w:r>
          </w:p>
        </w:tc>
        <w:tc>
          <w:tcPr>
            <w:tcW w:w="2160" w:type="dxa"/>
          </w:tcPr>
          <w:p w14:paraId="7D9A0D03" w14:textId="77777777" w:rsidR="00851307" w:rsidRPr="00235777" w:rsidRDefault="00851307" w:rsidP="00E37354">
            <w:pPr>
              <w:rPr>
                <w:rFonts w:ascii="Arial Narrow" w:hAnsi="Arial Narrow"/>
                <w:b/>
                <w:color w:val="000000" w:themeColor="text1"/>
                <w:lang w:val="en-CA"/>
              </w:rPr>
            </w:pPr>
          </w:p>
        </w:tc>
      </w:tr>
      <w:tr w:rsidR="00851307" w:rsidRPr="00893328" w14:paraId="4FC8A4B1" w14:textId="77777777" w:rsidTr="00E37354">
        <w:tc>
          <w:tcPr>
            <w:tcW w:w="1638" w:type="dxa"/>
          </w:tcPr>
          <w:p w14:paraId="774A1111" w14:textId="77777777" w:rsidR="00851307" w:rsidRPr="00235777" w:rsidRDefault="00851307" w:rsidP="00E37354">
            <w:pPr>
              <w:rPr>
                <w:rFonts w:ascii="Arial Narrow" w:hAnsi="Arial Narrow"/>
                <w:color w:val="000000" w:themeColor="text1"/>
                <w:lang w:val="en-CA"/>
              </w:rPr>
            </w:pPr>
          </w:p>
        </w:tc>
        <w:tc>
          <w:tcPr>
            <w:tcW w:w="3150" w:type="dxa"/>
          </w:tcPr>
          <w:p w14:paraId="6F7DAD03" w14:textId="77777777" w:rsidR="00851307" w:rsidRPr="00235777" w:rsidRDefault="00851307" w:rsidP="00E37354">
            <w:pPr>
              <w:rPr>
                <w:rFonts w:ascii="Arial Narrow" w:hAnsi="Arial Narrow"/>
                <w:color w:val="000000" w:themeColor="text1"/>
                <w:lang w:val="en-CA"/>
              </w:rPr>
            </w:pPr>
          </w:p>
        </w:tc>
        <w:tc>
          <w:tcPr>
            <w:tcW w:w="2880" w:type="dxa"/>
          </w:tcPr>
          <w:p w14:paraId="43634566" w14:textId="77777777" w:rsidR="00851307" w:rsidRPr="006737F7" w:rsidRDefault="00851307" w:rsidP="00E37354">
            <w:pPr>
              <w:rPr>
                <w:rFonts w:ascii="Arial Narrow" w:hAnsi="Arial Narrow"/>
                <w:color w:val="000000" w:themeColor="text1"/>
                <w:lang w:val="en-CA"/>
              </w:rPr>
            </w:pPr>
            <w:r w:rsidRPr="006737F7">
              <w:rPr>
                <w:rFonts w:ascii="Arial Narrow" w:hAnsi="Arial Narrow"/>
                <w:color w:val="000000" w:themeColor="text1"/>
                <w:lang w:val="en-CA"/>
              </w:rPr>
              <w:t>Last Review/Revision Date:</w:t>
            </w:r>
            <w:r w:rsidRPr="006737F7">
              <w:rPr>
                <w:rFonts w:ascii="Arial Narrow" w:hAnsi="Arial Narrow"/>
                <w:color w:val="000000" w:themeColor="text1"/>
                <w:lang w:val="en-CA"/>
              </w:rPr>
              <w:br/>
            </w:r>
            <w:r>
              <w:rPr>
                <w:rFonts w:ascii="Arial Narrow" w:hAnsi="Arial Narrow"/>
                <w:color w:val="000000" w:themeColor="text1"/>
                <w:lang w:val="en-CA"/>
              </w:rPr>
              <w:t>November 22</w:t>
            </w:r>
            <w:r w:rsidRPr="00893328">
              <w:rPr>
                <w:rFonts w:ascii="Arial Narrow" w:hAnsi="Arial Narrow"/>
                <w:color w:val="000000" w:themeColor="text1"/>
                <w:vertAlign w:val="superscript"/>
                <w:lang w:val="en-CA"/>
              </w:rPr>
              <w:t>nd</w:t>
            </w:r>
            <w:r>
              <w:rPr>
                <w:rFonts w:ascii="Arial Narrow" w:hAnsi="Arial Narrow"/>
                <w:color w:val="000000" w:themeColor="text1"/>
                <w:lang w:val="en-CA"/>
              </w:rPr>
              <w:t>, 2021</w:t>
            </w:r>
          </w:p>
        </w:tc>
        <w:tc>
          <w:tcPr>
            <w:tcW w:w="2160" w:type="dxa"/>
          </w:tcPr>
          <w:p w14:paraId="526A36E4" w14:textId="77777777" w:rsidR="00851307" w:rsidRPr="006737F7" w:rsidRDefault="00851307" w:rsidP="00E37354">
            <w:pPr>
              <w:rPr>
                <w:rFonts w:ascii="Arial Narrow" w:hAnsi="Arial Narrow"/>
                <w:b/>
                <w:color w:val="000000" w:themeColor="text1"/>
                <w:lang w:val="en-CA"/>
              </w:rPr>
            </w:pPr>
          </w:p>
        </w:tc>
      </w:tr>
      <w:tr w:rsidR="00851307" w:rsidRPr="00893328" w14:paraId="2F960FA9" w14:textId="77777777" w:rsidTr="00E37354">
        <w:tc>
          <w:tcPr>
            <w:tcW w:w="1638" w:type="dxa"/>
            <w:tcBorders>
              <w:bottom w:val="single" w:sz="4" w:space="0" w:color="auto"/>
            </w:tcBorders>
          </w:tcPr>
          <w:p w14:paraId="5F62E84D" w14:textId="77777777" w:rsidR="00851307" w:rsidRPr="006737F7" w:rsidRDefault="00851307" w:rsidP="00E37354">
            <w:pPr>
              <w:rPr>
                <w:rFonts w:ascii="Arial Narrow" w:hAnsi="Arial Narrow"/>
                <w:color w:val="000000" w:themeColor="text1"/>
                <w:lang w:val="en-CA"/>
              </w:rPr>
            </w:pPr>
          </w:p>
        </w:tc>
        <w:tc>
          <w:tcPr>
            <w:tcW w:w="3150" w:type="dxa"/>
            <w:tcBorders>
              <w:bottom w:val="single" w:sz="4" w:space="0" w:color="auto"/>
            </w:tcBorders>
          </w:tcPr>
          <w:p w14:paraId="7076AF2E" w14:textId="77777777" w:rsidR="00851307" w:rsidRPr="006737F7" w:rsidRDefault="00851307" w:rsidP="00E37354">
            <w:pPr>
              <w:rPr>
                <w:rFonts w:ascii="Arial Narrow" w:hAnsi="Arial Narrow"/>
                <w:color w:val="000000" w:themeColor="text1"/>
                <w:lang w:val="en-CA"/>
              </w:rPr>
            </w:pPr>
          </w:p>
        </w:tc>
        <w:tc>
          <w:tcPr>
            <w:tcW w:w="2880" w:type="dxa"/>
            <w:tcBorders>
              <w:bottom w:val="single" w:sz="4" w:space="0" w:color="auto"/>
            </w:tcBorders>
          </w:tcPr>
          <w:p w14:paraId="142B766B" w14:textId="77777777" w:rsidR="00851307" w:rsidRPr="00325C20" w:rsidRDefault="00851307" w:rsidP="00E37354">
            <w:pPr>
              <w:rPr>
                <w:rFonts w:ascii="Arial Narrow" w:hAnsi="Arial Narrow"/>
                <w:color w:val="000000" w:themeColor="text1"/>
                <w:lang w:val="en-CA"/>
              </w:rPr>
            </w:pPr>
            <w:r w:rsidRPr="00325C20">
              <w:rPr>
                <w:rFonts w:ascii="Arial Narrow" w:hAnsi="Arial Narrow"/>
                <w:color w:val="000000" w:themeColor="text1"/>
                <w:lang w:val="en-CA"/>
              </w:rPr>
              <w:t>Year of Next Review:</w:t>
            </w:r>
            <w:r w:rsidRPr="00325C20">
              <w:rPr>
                <w:rFonts w:ascii="Arial Narrow" w:hAnsi="Arial Narrow"/>
                <w:color w:val="000000" w:themeColor="text1"/>
                <w:lang w:val="en-CA"/>
              </w:rPr>
              <w:br/>
            </w:r>
            <w:r>
              <w:rPr>
                <w:rFonts w:ascii="Arial Narrow" w:hAnsi="Arial Narrow"/>
                <w:color w:val="000000" w:themeColor="text1"/>
                <w:lang w:val="en-CA"/>
              </w:rPr>
              <w:t>November 22</w:t>
            </w:r>
            <w:r w:rsidRPr="00893328">
              <w:rPr>
                <w:rFonts w:ascii="Arial Narrow" w:hAnsi="Arial Narrow"/>
                <w:color w:val="000000" w:themeColor="text1"/>
                <w:vertAlign w:val="superscript"/>
                <w:lang w:val="en-CA"/>
              </w:rPr>
              <w:t>nd</w:t>
            </w:r>
            <w:r>
              <w:rPr>
                <w:rFonts w:ascii="Arial Narrow" w:hAnsi="Arial Narrow"/>
                <w:color w:val="000000" w:themeColor="text1"/>
                <w:lang w:val="en-CA"/>
              </w:rPr>
              <w:t>, 2026</w:t>
            </w:r>
          </w:p>
        </w:tc>
        <w:tc>
          <w:tcPr>
            <w:tcW w:w="2160" w:type="dxa"/>
            <w:tcBorders>
              <w:bottom w:val="single" w:sz="4" w:space="0" w:color="auto"/>
            </w:tcBorders>
          </w:tcPr>
          <w:p w14:paraId="626AA057" w14:textId="77777777" w:rsidR="00851307" w:rsidRPr="00325C20" w:rsidRDefault="00851307" w:rsidP="00E37354">
            <w:pPr>
              <w:rPr>
                <w:rFonts w:ascii="Arial Narrow" w:hAnsi="Arial Narrow"/>
                <w:b/>
                <w:color w:val="000000" w:themeColor="text1"/>
                <w:lang w:val="en-CA"/>
              </w:rPr>
            </w:pPr>
          </w:p>
        </w:tc>
      </w:tr>
    </w:tbl>
    <w:p w14:paraId="5D6BFD6D" w14:textId="3705C743" w:rsidR="00851307" w:rsidRPr="00851307" w:rsidRDefault="00851307" w:rsidP="00851307">
      <w:pPr>
        <w:rPr>
          <w:sz w:val="20"/>
          <w:szCs w:val="20"/>
          <w:lang w:val="en-CA"/>
        </w:rPr>
      </w:pPr>
      <w:r w:rsidRPr="00893328">
        <w:rPr>
          <w:b/>
          <w:sz w:val="28"/>
          <w:szCs w:val="28"/>
          <w:lang w:val="en-CA"/>
        </w:rPr>
        <w:t>NOTE TO THE BOARD MEMBERS :</w:t>
      </w:r>
      <w:r>
        <w:rPr>
          <w:b/>
          <w:sz w:val="28"/>
          <w:szCs w:val="28"/>
          <w:lang w:val="en-CA"/>
        </w:rPr>
        <w:br/>
      </w:r>
      <w:r w:rsidRPr="00893328">
        <w:rPr>
          <w:b/>
          <w:sz w:val="28"/>
          <w:szCs w:val="28"/>
          <w:lang w:val="en-CA"/>
        </w:rPr>
        <w:t xml:space="preserve">FOR YOUR INFORMATION, BY-LAWS </w:t>
      </w:r>
      <w:r>
        <w:rPr>
          <w:b/>
          <w:sz w:val="28"/>
          <w:szCs w:val="28"/>
          <w:lang w:val="en-CA"/>
        </w:rPr>
        <w:t>IN THE ‘GOV’</w:t>
      </w:r>
      <w:r w:rsidRPr="00893328">
        <w:rPr>
          <w:b/>
          <w:sz w:val="28"/>
          <w:szCs w:val="28"/>
          <w:lang w:val="en-CA"/>
        </w:rPr>
        <w:t xml:space="preserve"> SECTION </w:t>
      </w:r>
      <w:r>
        <w:rPr>
          <w:b/>
          <w:sz w:val="28"/>
          <w:szCs w:val="28"/>
          <w:lang w:val="en-CA"/>
        </w:rPr>
        <w:t xml:space="preserve">ARE </w:t>
      </w:r>
      <w:r w:rsidRPr="00893328">
        <w:rPr>
          <w:b/>
          <w:sz w:val="28"/>
          <w:szCs w:val="28"/>
          <w:lang w:val="en-CA"/>
        </w:rPr>
        <w:t>SUBMITTED FOR YOUR UPDATE AND/OR APPROVAL.</w:t>
      </w:r>
    </w:p>
    <w:p w14:paraId="4B356E35" w14:textId="77777777" w:rsidR="00B26EB2" w:rsidRPr="00851307" w:rsidRDefault="00B26EB2" w:rsidP="00851307">
      <w:pPr>
        <w:pStyle w:val="NormalWeb"/>
        <w:rPr>
          <w:rFonts w:ascii="Arial Narrow" w:hAnsi="Arial Narrow"/>
          <w:szCs w:val="24"/>
          <w:lang w:val="en-CA"/>
        </w:rPr>
      </w:pPr>
      <w:r w:rsidRPr="00851307">
        <w:rPr>
          <w:rFonts w:ascii="Arial Narrow" w:hAnsi="Arial Narrow"/>
          <w:szCs w:val="24"/>
          <w:lang w:val="en-CA"/>
        </w:rPr>
        <w:t>The library board expects its members to understand the extent of their authority and to use it appropriately.  This policy sets out the obligations of individual board members.  While an individual board member has a number of responsibilities, outside of a meeting of the library board he or she has no authority to make decisions.</w:t>
      </w:r>
    </w:p>
    <w:p w14:paraId="5BD1B5C7" w14:textId="77777777" w:rsidR="00B26EB2" w:rsidRPr="00B26EB2" w:rsidRDefault="00B26EB2" w:rsidP="00851307">
      <w:pPr>
        <w:pStyle w:val="NormalWeb"/>
        <w:numPr>
          <w:ilvl w:val="0"/>
          <w:numId w:val="17"/>
        </w:numPr>
        <w:rPr>
          <w:rFonts w:ascii="Arial Narrow" w:hAnsi="Arial Narrow"/>
          <w:b/>
        </w:rPr>
      </w:pPr>
      <w:r w:rsidRPr="00851307">
        <w:rPr>
          <w:rFonts w:ascii="Arial Narrow" w:hAnsi="Arial Narrow"/>
          <w:szCs w:val="24"/>
          <w:lang w:val="en-CA"/>
        </w:rPr>
        <w:t>Each board member is expected to become a productive participant in exercising the duties of the board as a whole.</w:t>
      </w:r>
      <w:r>
        <w:rPr>
          <w:rFonts w:ascii="Arial Narrow" w:hAnsi="Arial Narrow"/>
          <w:b/>
        </w:rPr>
        <w:br/>
      </w:r>
    </w:p>
    <w:p w14:paraId="17377AEC" w14:textId="77777777" w:rsidR="00C90313" w:rsidRDefault="00B26EB2" w:rsidP="00851307">
      <w:pPr>
        <w:pStyle w:val="NormalWeb"/>
        <w:numPr>
          <w:ilvl w:val="0"/>
          <w:numId w:val="17"/>
        </w:numPr>
        <w:rPr>
          <w:rFonts w:ascii="Arial Narrow" w:hAnsi="Arial Narrow"/>
          <w:b/>
        </w:rPr>
      </w:pPr>
      <w:r w:rsidRPr="00851307">
        <w:rPr>
          <w:rFonts w:ascii="Arial Narrow" w:hAnsi="Arial Narrow"/>
          <w:szCs w:val="24"/>
          <w:lang w:val="en-CA"/>
        </w:rPr>
        <w:t xml:space="preserve">Individual members of the library board are responsible for exercising a </w:t>
      </w:r>
      <w:r w:rsidRPr="00851307">
        <w:rPr>
          <w:rFonts w:ascii="Arial Narrow" w:hAnsi="Arial Narrow"/>
          <w:b/>
          <w:szCs w:val="24"/>
          <w:u w:val="single"/>
          <w:lang w:val="en-CA"/>
        </w:rPr>
        <w:t>Duty of Diligence</w:t>
      </w:r>
      <w:r w:rsidRPr="00851307">
        <w:rPr>
          <w:rFonts w:ascii="Arial Narrow" w:hAnsi="Arial Narrow"/>
          <w:szCs w:val="24"/>
          <w:lang w:val="en-CA"/>
        </w:rPr>
        <w:t xml:space="preserve"> as follows :</w:t>
      </w:r>
      <w:r w:rsidR="00C90313" w:rsidRPr="00851307">
        <w:rPr>
          <w:rFonts w:ascii="Arial Narrow" w:hAnsi="Arial Narrow"/>
          <w:szCs w:val="24"/>
          <w:lang w:val="en-CA"/>
        </w:rPr>
        <w:br/>
      </w:r>
      <w:r w:rsidRPr="00851307">
        <w:rPr>
          <w:rFonts w:ascii="Arial Narrow" w:hAnsi="Arial Narrow"/>
          <w:szCs w:val="24"/>
          <w:lang w:val="en-CA"/>
        </w:rPr>
        <w:br/>
      </w:r>
      <w:r w:rsidR="00C90313">
        <w:rPr>
          <w:rFonts w:ascii="Arial Narrow" w:hAnsi="Arial Narrow"/>
        </w:rPr>
        <w:t>a)  be informed of legislation under which the library exists, board bylaws, mission, vision and values</w:t>
      </w:r>
      <w:r w:rsidR="00C90313">
        <w:rPr>
          <w:rFonts w:ascii="Arial Narrow" w:hAnsi="Arial Narrow"/>
          <w:b/>
        </w:rPr>
        <w:br/>
      </w:r>
      <w:r w:rsidR="00C90313">
        <w:rPr>
          <w:rFonts w:ascii="Arial Narrow" w:hAnsi="Arial Narrow"/>
        </w:rPr>
        <w:t xml:space="preserve">b)  be informed about the activities of the library and the community and issues that affect the library </w:t>
      </w:r>
      <w:r w:rsidR="00C90313">
        <w:rPr>
          <w:rFonts w:ascii="Arial Narrow" w:hAnsi="Arial Narrow"/>
        </w:rPr>
        <w:br/>
        <w:t>c)  be prepared for all board meetings and attend board meetings regularly, contribute from personal and professional experience, and use meeting time productively.</w:t>
      </w:r>
      <w:r w:rsidR="00C90313">
        <w:rPr>
          <w:rFonts w:ascii="Arial Narrow" w:hAnsi="Arial Narrow"/>
        </w:rPr>
        <w:br/>
      </w:r>
    </w:p>
    <w:p w14:paraId="46736B3A" w14:textId="77B52746" w:rsidR="00C90313" w:rsidRPr="00C90313" w:rsidRDefault="00C90313" w:rsidP="00851307">
      <w:pPr>
        <w:pStyle w:val="NormalWeb"/>
        <w:numPr>
          <w:ilvl w:val="0"/>
          <w:numId w:val="17"/>
        </w:numPr>
        <w:rPr>
          <w:rFonts w:ascii="Arial Narrow" w:hAnsi="Arial Narrow"/>
          <w:b/>
        </w:rPr>
      </w:pPr>
      <w:r>
        <w:rPr>
          <w:rFonts w:ascii="Arial Narrow" w:hAnsi="Arial Narrow"/>
        </w:rPr>
        <w:t xml:space="preserve">Individual members of the library board are responsible for exercising a </w:t>
      </w:r>
      <w:r>
        <w:rPr>
          <w:rFonts w:ascii="Arial Narrow" w:hAnsi="Arial Narrow"/>
          <w:b/>
        </w:rPr>
        <w:t>Duty of Loyalty</w:t>
      </w:r>
      <w:r>
        <w:rPr>
          <w:rFonts w:ascii="Arial Narrow" w:hAnsi="Arial Narrow"/>
        </w:rPr>
        <w:t>, as follows:</w:t>
      </w:r>
      <w:r>
        <w:rPr>
          <w:rFonts w:ascii="Arial Narrow" w:hAnsi="Arial Narrow"/>
        </w:rPr>
        <w:br/>
      </w:r>
      <w:r>
        <w:rPr>
          <w:rFonts w:ascii="Arial Narrow" w:hAnsi="Arial Narrow"/>
        </w:rPr>
        <w:br/>
        <w:t xml:space="preserve">a) adhere to the regulations of the </w:t>
      </w:r>
      <w:r>
        <w:rPr>
          <w:rFonts w:ascii="Arial Narrow" w:hAnsi="Arial Narrow"/>
          <w:b/>
        </w:rPr>
        <w:t>Municipal Conflict of Interest Act</w:t>
      </w:r>
      <w:r>
        <w:rPr>
          <w:rFonts w:ascii="Arial Narrow" w:hAnsi="Arial Narrow"/>
        </w:rPr>
        <w:t>.  R.S.O. 1990, c. M50</w:t>
      </w:r>
      <w:r>
        <w:rPr>
          <w:rFonts w:ascii="Arial Narrow" w:hAnsi="Arial Narrow"/>
        </w:rPr>
        <w:br/>
        <w:t>b) act in the interest of the library members and community over and above other interest group involvement, membership on other boards, council or personal interest</w:t>
      </w:r>
      <w:r>
        <w:rPr>
          <w:rFonts w:ascii="Arial Narrow" w:hAnsi="Arial Narrow"/>
        </w:rPr>
        <w:br/>
        <w:t>c) speak with ‘one voice’ once a decision is reached and a resolution is passed by the library board</w:t>
      </w:r>
      <w:r>
        <w:rPr>
          <w:rFonts w:ascii="Arial Narrow" w:hAnsi="Arial Narrow"/>
        </w:rPr>
        <w:br/>
        <w:t>d) represent the library positively to the community</w:t>
      </w:r>
      <w:r w:rsidR="00851307">
        <w:rPr>
          <w:rFonts w:ascii="Arial Narrow" w:hAnsi="Arial Narrow"/>
        </w:rPr>
        <w:br/>
      </w:r>
      <w:r w:rsidR="00851307">
        <w:rPr>
          <w:rFonts w:ascii="Arial Narrow" w:hAnsi="Arial Narrow"/>
        </w:rPr>
        <w:br/>
      </w:r>
      <w:r w:rsidR="00851307">
        <w:rPr>
          <w:rFonts w:ascii="Arial Narrow" w:hAnsi="Arial Narrow"/>
        </w:rPr>
        <w:br/>
      </w:r>
      <w:r w:rsidR="00851307">
        <w:rPr>
          <w:rFonts w:ascii="Arial Narrow" w:hAnsi="Arial Narrow"/>
        </w:rPr>
        <w:br/>
      </w:r>
      <w:r w:rsidR="00851307">
        <w:rPr>
          <w:rFonts w:ascii="Arial Narrow" w:hAnsi="Arial Narrow"/>
        </w:rPr>
        <w:br/>
      </w:r>
      <w:r w:rsidR="00851307">
        <w:rPr>
          <w:rFonts w:ascii="Arial Narrow" w:hAnsi="Arial Narrow"/>
        </w:rPr>
        <w:br/>
      </w:r>
      <w:r w:rsidR="00851307">
        <w:rPr>
          <w:rFonts w:ascii="Arial Narrow" w:hAnsi="Arial Narrow"/>
        </w:rPr>
        <w:br/>
      </w:r>
      <w:r w:rsidR="00851307">
        <w:rPr>
          <w:rFonts w:ascii="Arial Narrow" w:hAnsi="Arial Narrow"/>
        </w:rPr>
        <w:br/>
      </w:r>
      <w:r w:rsidR="00851307">
        <w:rPr>
          <w:rFonts w:ascii="Arial Narrow" w:hAnsi="Arial Narrow"/>
        </w:rPr>
        <w:lastRenderedPageBreak/>
        <w:br/>
      </w:r>
      <w:r>
        <w:rPr>
          <w:rFonts w:ascii="Arial Narrow" w:hAnsi="Arial Narrow"/>
        </w:rPr>
        <w:br/>
      </w:r>
    </w:p>
    <w:p w14:paraId="54E57273" w14:textId="0D56BF74" w:rsidR="009220A4" w:rsidRPr="00C90313" w:rsidRDefault="00277AEE" w:rsidP="00851307">
      <w:pPr>
        <w:pStyle w:val="NormalWeb"/>
        <w:numPr>
          <w:ilvl w:val="0"/>
          <w:numId w:val="17"/>
        </w:numPr>
        <w:rPr>
          <w:rFonts w:ascii="Arial Narrow" w:hAnsi="Arial Narrow"/>
          <w:b/>
        </w:rPr>
      </w:pPr>
      <w:r w:rsidRPr="00851307">
        <w:rPr>
          <w:rFonts w:ascii="Arial Narrow" w:hAnsi="Arial Narrow"/>
          <w:szCs w:val="24"/>
          <w:lang w:val="en-CA"/>
        </w:rPr>
        <w:t xml:space="preserve">Individual members of the library board are responsible for exercising a </w:t>
      </w:r>
      <w:r w:rsidRPr="00851307">
        <w:rPr>
          <w:rFonts w:ascii="Arial Narrow" w:hAnsi="Arial Narrow"/>
          <w:b/>
          <w:szCs w:val="24"/>
          <w:lang w:val="en-CA"/>
        </w:rPr>
        <w:t>Duty of Care</w:t>
      </w:r>
      <w:r w:rsidRPr="00851307">
        <w:rPr>
          <w:rFonts w:ascii="Arial Narrow" w:hAnsi="Arial Narrow"/>
          <w:szCs w:val="24"/>
          <w:lang w:val="en-CA"/>
        </w:rPr>
        <w:t>, as follows :</w:t>
      </w:r>
      <w:r w:rsidRPr="00851307">
        <w:rPr>
          <w:rFonts w:ascii="Arial Narrow" w:hAnsi="Arial Narrow"/>
          <w:szCs w:val="24"/>
          <w:lang w:val="en-CA"/>
        </w:rPr>
        <w:br/>
      </w:r>
      <w:r w:rsidRPr="00851307">
        <w:rPr>
          <w:rFonts w:ascii="Arial Narrow" w:hAnsi="Arial Narrow"/>
          <w:szCs w:val="24"/>
          <w:lang w:val="en-CA"/>
        </w:rPr>
        <w:br/>
        <w:t>a)  promote a high level of library service</w:t>
      </w:r>
      <w:r w:rsidRPr="00851307">
        <w:rPr>
          <w:rFonts w:ascii="Arial Narrow" w:hAnsi="Arial Narrow"/>
          <w:szCs w:val="24"/>
          <w:lang w:val="en-CA"/>
        </w:rPr>
        <w:br/>
        <w:t>b)  consider information gathered in preparation for decision making</w:t>
      </w:r>
      <w:r w:rsidRPr="00851307">
        <w:rPr>
          <w:rFonts w:ascii="Arial Narrow" w:hAnsi="Arial Narrow"/>
          <w:szCs w:val="24"/>
          <w:lang w:val="en-CA"/>
        </w:rPr>
        <w:br/>
        <w:t>c)  offer personal perspective and opinions on issues that are subject to library board discussion</w:t>
      </w:r>
      <w:r w:rsidR="00E85272">
        <w:rPr>
          <w:rFonts w:ascii="Arial Narrow" w:hAnsi="Arial Narrow"/>
          <w:szCs w:val="24"/>
          <w:lang w:val="en-CA"/>
        </w:rPr>
        <w:t>s</w:t>
      </w:r>
      <w:r w:rsidRPr="00851307">
        <w:rPr>
          <w:rFonts w:ascii="Arial Narrow" w:hAnsi="Arial Narrow"/>
          <w:szCs w:val="24"/>
          <w:lang w:val="en-CA"/>
        </w:rPr>
        <w:t xml:space="preserve"> and decisions</w:t>
      </w:r>
      <w:r w:rsidRPr="00851307">
        <w:rPr>
          <w:rFonts w:ascii="Arial Narrow" w:hAnsi="Arial Narrow"/>
          <w:szCs w:val="24"/>
          <w:lang w:val="en-CA"/>
        </w:rPr>
        <w:br/>
        <w:t>d)  show respect for the opinions of others</w:t>
      </w:r>
      <w:r w:rsidRPr="00851307">
        <w:rPr>
          <w:rFonts w:ascii="Arial Narrow" w:hAnsi="Arial Narrow"/>
          <w:szCs w:val="24"/>
          <w:lang w:val="en-CA"/>
        </w:rPr>
        <w:br/>
        <w:t>e)  assume no authority to make decisions outside of board meetings</w:t>
      </w:r>
      <w:r w:rsidRPr="00851307">
        <w:rPr>
          <w:rFonts w:ascii="Arial Narrow" w:hAnsi="Arial Narrow"/>
          <w:szCs w:val="24"/>
          <w:lang w:val="en-CA"/>
        </w:rPr>
        <w:br/>
        <w:t>f)  know and respect the distinction in the roles of the library board with regard to governance and the employees, management and operations</w:t>
      </w:r>
      <w:r w:rsidRPr="00851307">
        <w:rPr>
          <w:rFonts w:ascii="Arial Narrow" w:hAnsi="Arial Narrow"/>
          <w:szCs w:val="24"/>
          <w:lang w:val="en-CA"/>
        </w:rPr>
        <w:br/>
        <w:t>g)  refrain from individually directing the Chief Executive Officer (CEO) and the employees</w:t>
      </w:r>
      <w:r w:rsidRPr="00851307">
        <w:rPr>
          <w:rFonts w:ascii="Arial Narrow" w:hAnsi="Arial Narrow"/>
          <w:szCs w:val="24"/>
          <w:lang w:val="en-CA"/>
        </w:rPr>
        <w:br/>
        <w:t>h)  respect the confidential nature of library service to users while being aware of, and in compliance with applicable laws governing freedom of information</w:t>
      </w:r>
      <w:r w:rsidRPr="00851307">
        <w:rPr>
          <w:rFonts w:ascii="Arial Narrow" w:hAnsi="Arial Narrow"/>
          <w:szCs w:val="24"/>
          <w:lang w:val="en-CA"/>
        </w:rPr>
        <w:br/>
        <w:t>i)  resist censorship of library materials by groups or individuals</w:t>
      </w:r>
      <w:r w:rsidR="000D344E" w:rsidRPr="00851307">
        <w:rPr>
          <w:rFonts w:ascii="Arial Narrow" w:hAnsi="Arial Narrow"/>
          <w:szCs w:val="24"/>
          <w:lang w:val="en-CA"/>
        </w:rPr>
        <w:t>.</w:t>
      </w:r>
      <w:r w:rsidR="00601A31" w:rsidRPr="00851307">
        <w:rPr>
          <w:rFonts w:ascii="Arial Narrow" w:hAnsi="Arial Narrow"/>
          <w:szCs w:val="24"/>
          <w:lang w:val="en-CA"/>
        </w:rPr>
        <w:br/>
      </w:r>
    </w:p>
    <w:p w14:paraId="3408B0DC" w14:textId="77777777" w:rsidR="00851307" w:rsidRDefault="00851307" w:rsidP="00851307">
      <w:pPr>
        <w:ind w:left="708" w:firstLine="12"/>
        <w:rPr>
          <w:rFonts w:ascii="Arial Narrow" w:hAnsi="Arial Narrow"/>
          <w:b/>
          <w:lang w:val="en-US"/>
        </w:rPr>
      </w:pPr>
    </w:p>
    <w:p w14:paraId="5D074277" w14:textId="77777777" w:rsidR="00851307" w:rsidRDefault="00851307" w:rsidP="00851307">
      <w:pPr>
        <w:ind w:left="708" w:firstLine="12"/>
        <w:rPr>
          <w:rFonts w:ascii="Arial Narrow" w:hAnsi="Arial Narrow"/>
          <w:b/>
          <w:lang w:val="en-US"/>
        </w:rPr>
      </w:pPr>
    </w:p>
    <w:p w14:paraId="2C339451" w14:textId="77777777" w:rsidR="00851307" w:rsidRDefault="00851307" w:rsidP="00851307">
      <w:pPr>
        <w:ind w:left="708" w:firstLine="12"/>
        <w:rPr>
          <w:rFonts w:ascii="Arial Narrow" w:hAnsi="Arial Narrow"/>
          <w:b/>
          <w:lang w:val="en-US"/>
        </w:rPr>
      </w:pPr>
    </w:p>
    <w:p w14:paraId="5DCC9BC1" w14:textId="77777777" w:rsidR="00851307" w:rsidRDefault="00851307" w:rsidP="00851307">
      <w:pPr>
        <w:ind w:left="708" w:firstLine="12"/>
        <w:rPr>
          <w:rFonts w:ascii="Arial Narrow" w:hAnsi="Arial Narrow"/>
          <w:b/>
          <w:lang w:val="en-US"/>
        </w:rPr>
      </w:pPr>
    </w:p>
    <w:p w14:paraId="0593E79C" w14:textId="77777777" w:rsidR="00851307" w:rsidRDefault="00851307" w:rsidP="00851307">
      <w:pPr>
        <w:ind w:left="708" w:firstLine="12"/>
        <w:rPr>
          <w:rFonts w:ascii="Arial Narrow" w:hAnsi="Arial Narrow"/>
          <w:b/>
          <w:lang w:val="en-US"/>
        </w:rPr>
      </w:pPr>
    </w:p>
    <w:p w14:paraId="3E2D2257" w14:textId="77777777" w:rsidR="00851307" w:rsidRDefault="00851307" w:rsidP="00851307">
      <w:pPr>
        <w:ind w:left="708" w:firstLine="12"/>
        <w:rPr>
          <w:rFonts w:ascii="Arial Narrow" w:hAnsi="Arial Narrow"/>
          <w:b/>
          <w:lang w:val="en-US"/>
        </w:rPr>
      </w:pPr>
    </w:p>
    <w:p w14:paraId="4A2BEDD5" w14:textId="77777777" w:rsidR="00851307" w:rsidRDefault="00851307" w:rsidP="00851307">
      <w:pPr>
        <w:ind w:left="708" w:firstLine="12"/>
        <w:rPr>
          <w:rFonts w:ascii="Arial Narrow" w:hAnsi="Arial Narrow"/>
          <w:b/>
          <w:lang w:val="en-US"/>
        </w:rPr>
      </w:pPr>
    </w:p>
    <w:p w14:paraId="1B4C7031" w14:textId="77777777" w:rsidR="00851307" w:rsidRDefault="00851307" w:rsidP="00851307">
      <w:pPr>
        <w:ind w:left="708" w:firstLine="12"/>
        <w:rPr>
          <w:rFonts w:ascii="Arial Narrow" w:hAnsi="Arial Narrow"/>
          <w:b/>
          <w:lang w:val="en-US"/>
        </w:rPr>
      </w:pPr>
    </w:p>
    <w:p w14:paraId="5CFF7310" w14:textId="77777777" w:rsidR="00851307" w:rsidRDefault="00851307" w:rsidP="00851307">
      <w:pPr>
        <w:ind w:left="708" w:firstLine="12"/>
        <w:rPr>
          <w:rFonts w:ascii="Arial Narrow" w:hAnsi="Arial Narrow"/>
          <w:b/>
          <w:lang w:val="en-US"/>
        </w:rPr>
      </w:pPr>
    </w:p>
    <w:p w14:paraId="1C3D0972" w14:textId="77777777" w:rsidR="00851307" w:rsidRDefault="00851307" w:rsidP="00851307">
      <w:pPr>
        <w:ind w:left="708" w:firstLine="12"/>
        <w:rPr>
          <w:rFonts w:ascii="Arial Narrow" w:hAnsi="Arial Narrow"/>
          <w:b/>
          <w:lang w:val="en-US"/>
        </w:rPr>
      </w:pPr>
    </w:p>
    <w:p w14:paraId="56834FFF" w14:textId="77777777" w:rsidR="00851307" w:rsidRDefault="00851307" w:rsidP="00851307">
      <w:pPr>
        <w:ind w:left="708" w:firstLine="12"/>
        <w:rPr>
          <w:rFonts w:ascii="Arial Narrow" w:hAnsi="Arial Narrow"/>
          <w:b/>
          <w:lang w:val="en-US"/>
        </w:rPr>
      </w:pPr>
    </w:p>
    <w:p w14:paraId="01649294" w14:textId="06A0BD30" w:rsidR="009220A4" w:rsidRPr="00851307" w:rsidRDefault="001C06A8" w:rsidP="00851307">
      <w:pPr>
        <w:ind w:left="708" w:firstLine="12"/>
        <w:rPr>
          <w:rFonts w:ascii="Arial Narrow" w:hAnsi="Arial Narrow"/>
          <w:b/>
          <w:lang w:val="en-CA"/>
        </w:rPr>
      </w:pPr>
      <w:r w:rsidRPr="00851307">
        <w:rPr>
          <w:rFonts w:ascii="Arial Narrow" w:hAnsi="Arial Narrow"/>
          <w:b/>
          <w:lang w:val="en-CA"/>
        </w:rPr>
        <w:t xml:space="preserve">Related </w:t>
      </w:r>
      <w:r w:rsidR="009220A4" w:rsidRPr="00851307">
        <w:rPr>
          <w:rFonts w:ascii="Arial Narrow" w:hAnsi="Arial Narrow"/>
          <w:b/>
          <w:lang w:val="en-CA"/>
        </w:rPr>
        <w:t>Documents:</w:t>
      </w:r>
      <w:r w:rsidR="000D344E" w:rsidRPr="00851307">
        <w:rPr>
          <w:rFonts w:ascii="Arial Narrow" w:hAnsi="Arial Narrow"/>
          <w:b/>
          <w:lang w:val="en-CA"/>
        </w:rPr>
        <w:br/>
      </w:r>
      <w:r w:rsidR="000D344E" w:rsidRPr="00851307">
        <w:rPr>
          <w:rFonts w:ascii="Arial Narrow" w:hAnsi="Arial Narrow"/>
          <w:sz w:val="20"/>
          <w:szCs w:val="20"/>
          <w:lang w:val="en-CA"/>
        </w:rPr>
        <w:t xml:space="preserve">Casselman Public Library. </w:t>
      </w:r>
      <w:r w:rsidR="000D344E" w:rsidRPr="00851307">
        <w:rPr>
          <w:rFonts w:ascii="Arial Narrow" w:hAnsi="Arial Narrow"/>
          <w:b/>
          <w:sz w:val="20"/>
          <w:szCs w:val="20"/>
          <w:lang w:val="en-CA"/>
        </w:rPr>
        <w:t>BL 04 – Powers and Duties of the Board</w:t>
      </w:r>
      <w:r w:rsidR="000D344E" w:rsidRPr="00851307">
        <w:rPr>
          <w:rFonts w:ascii="Arial Narrow" w:hAnsi="Arial Narrow"/>
          <w:sz w:val="20"/>
          <w:szCs w:val="20"/>
          <w:lang w:val="en-CA"/>
        </w:rPr>
        <w:br/>
        <w:t>Casselman Public Library</w:t>
      </w:r>
      <w:r w:rsidR="000D344E" w:rsidRPr="00851307">
        <w:rPr>
          <w:rFonts w:ascii="Arial Narrow" w:hAnsi="Arial Narrow"/>
          <w:b/>
          <w:sz w:val="20"/>
          <w:szCs w:val="20"/>
          <w:lang w:val="en-CA"/>
        </w:rPr>
        <w:t>. Gov 01 – Purpose of the Board</w:t>
      </w:r>
      <w:r w:rsidR="000D344E" w:rsidRPr="00851307">
        <w:rPr>
          <w:rFonts w:ascii="Arial Narrow" w:hAnsi="Arial Narrow"/>
          <w:b/>
          <w:sz w:val="20"/>
          <w:szCs w:val="20"/>
          <w:lang w:val="en-CA"/>
        </w:rPr>
        <w:br/>
        <w:t>Municipal Confict of Interest Act</w:t>
      </w:r>
      <w:r w:rsidR="000D344E" w:rsidRPr="00851307">
        <w:rPr>
          <w:rFonts w:ascii="Arial Narrow" w:hAnsi="Arial Narrow"/>
          <w:sz w:val="20"/>
          <w:szCs w:val="20"/>
          <w:lang w:val="en-CA"/>
        </w:rPr>
        <w:t>, R.S.O. 1990, c. M50</w:t>
      </w:r>
      <w:r w:rsidR="000D344E" w:rsidRPr="00851307">
        <w:rPr>
          <w:rFonts w:ascii="Arial Narrow" w:hAnsi="Arial Narrow"/>
          <w:b/>
          <w:sz w:val="20"/>
          <w:szCs w:val="20"/>
          <w:lang w:val="en-CA"/>
        </w:rPr>
        <w:br/>
      </w:r>
    </w:p>
    <w:p w14:paraId="0A57E15B" w14:textId="77777777" w:rsidR="00F036CC" w:rsidRPr="00851307" w:rsidRDefault="00F036CC" w:rsidP="00851307">
      <w:pPr>
        <w:tabs>
          <w:tab w:val="left" w:pos="360"/>
          <w:tab w:val="left" w:pos="1440"/>
        </w:tabs>
        <w:suppressAutoHyphens/>
        <w:spacing w:line="240" w:lineRule="atLeast"/>
        <w:ind w:left="360" w:hanging="360"/>
        <w:rPr>
          <w:lang w:val="en-CA"/>
        </w:rPr>
      </w:pPr>
    </w:p>
    <w:sectPr w:rsidR="00F036CC" w:rsidRPr="00851307" w:rsidSect="00FC7B46">
      <w:pgSz w:w="12240" w:h="15840"/>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0ED"/>
    <w:multiLevelType w:val="hybridMultilevel"/>
    <w:tmpl w:val="77CEA7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840178"/>
    <w:multiLevelType w:val="hybridMultilevel"/>
    <w:tmpl w:val="ACEC8F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34014B"/>
    <w:multiLevelType w:val="hybridMultilevel"/>
    <w:tmpl w:val="AE4E8C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9040BE"/>
    <w:multiLevelType w:val="hybridMultilevel"/>
    <w:tmpl w:val="825A15E4"/>
    <w:lvl w:ilvl="0" w:tplc="830006B4">
      <w:start w:val="1"/>
      <w:numFmt w:val="lowerLetter"/>
      <w:lvlText w:val="%1)"/>
      <w:lvlJc w:val="left"/>
      <w:pPr>
        <w:tabs>
          <w:tab w:val="num" w:pos="1440"/>
        </w:tabs>
        <w:ind w:left="1440" w:hanging="360"/>
      </w:pPr>
      <w:rPr>
        <w:rFonts w:ascii="Arial Narrow" w:hAnsi="Arial Narrow" w:hint="default"/>
        <w:b w:val="0"/>
        <w:i w:val="0"/>
        <w:sz w:val="20"/>
      </w:rPr>
    </w:lvl>
    <w:lvl w:ilvl="1" w:tplc="04090019">
      <w:start w:val="1"/>
      <w:numFmt w:val="lowerLetter"/>
      <w:lvlText w:val="%2."/>
      <w:lvlJc w:val="left"/>
      <w:pPr>
        <w:tabs>
          <w:tab w:val="num" w:pos="2160"/>
        </w:tabs>
        <w:ind w:left="2160" w:hanging="360"/>
      </w:pPr>
    </w:lvl>
    <w:lvl w:ilvl="2" w:tplc="2794DDEC">
      <w:start w:val="1"/>
      <w:numFmt w:val="decimal"/>
      <w:lvlText w:val="%3."/>
      <w:lvlJc w:val="left"/>
      <w:pPr>
        <w:tabs>
          <w:tab w:val="num" w:pos="3060"/>
        </w:tabs>
        <w:ind w:left="3060" w:hanging="360"/>
      </w:pPr>
      <w:rPr>
        <w:rFonts w:hint="default"/>
        <w:sz w:val="2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DEC0C42"/>
    <w:multiLevelType w:val="hybridMultilevel"/>
    <w:tmpl w:val="C8F01240"/>
    <w:lvl w:ilvl="0" w:tplc="830006B4">
      <w:start w:val="1"/>
      <w:numFmt w:val="lowerLetter"/>
      <w:lvlText w:val="%1)"/>
      <w:lvlJc w:val="left"/>
      <w:pPr>
        <w:tabs>
          <w:tab w:val="num" w:pos="1440"/>
        </w:tabs>
        <w:ind w:left="1440" w:hanging="360"/>
      </w:pPr>
      <w:rPr>
        <w:rFonts w:ascii="Arial Narrow" w:hAnsi="Arial Narrow"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20320A"/>
    <w:multiLevelType w:val="hybridMultilevel"/>
    <w:tmpl w:val="EE6AF6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572B81"/>
    <w:multiLevelType w:val="hybridMultilevel"/>
    <w:tmpl w:val="77464C06"/>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7D7633"/>
    <w:multiLevelType w:val="hybridMultilevel"/>
    <w:tmpl w:val="80D4BEBA"/>
    <w:lvl w:ilvl="0" w:tplc="59EACABA">
      <w:start w:val="1"/>
      <w:numFmt w:val="lowerLetter"/>
      <w:lvlText w:val="%1)"/>
      <w:lvlJc w:val="left"/>
      <w:pPr>
        <w:tabs>
          <w:tab w:val="num" w:pos="1440"/>
        </w:tabs>
        <w:ind w:left="1440" w:hanging="360"/>
      </w:pPr>
      <w:rPr>
        <w:rFonts w:hint="default"/>
        <w:b w:val="0"/>
        <w:i w:val="0"/>
        <w:color w:val="auto"/>
        <w:sz w:val="20"/>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3B21203E"/>
    <w:multiLevelType w:val="hybridMultilevel"/>
    <w:tmpl w:val="62C24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1B1D89"/>
    <w:multiLevelType w:val="hybridMultilevel"/>
    <w:tmpl w:val="93B2B6F6"/>
    <w:lvl w:ilvl="0" w:tplc="1450AEBC">
      <w:start w:val="1"/>
      <w:numFmt w:val="lowerLetter"/>
      <w:lvlText w:val="%1)"/>
      <w:lvlJc w:val="left"/>
      <w:pPr>
        <w:tabs>
          <w:tab w:val="num" w:pos="1440"/>
        </w:tabs>
        <w:ind w:left="144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6D6A4A"/>
    <w:multiLevelType w:val="hybridMultilevel"/>
    <w:tmpl w:val="A838D55C"/>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CE7747"/>
    <w:multiLevelType w:val="hybridMultilevel"/>
    <w:tmpl w:val="77F441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447336"/>
    <w:multiLevelType w:val="hybridMultilevel"/>
    <w:tmpl w:val="4B508A24"/>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0590EF7"/>
    <w:multiLevelType w:val="hybridMultilevel"/>
    <w:tmpl w:val="A77475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1E6718"/>
    <w:multiLevelType w:val="hybridMultilevel"/>
    <w:tmpl w:val="BE02DFC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294B56"/>
    <w:multiLevelType w:val="hybridMultilevel"/>
    <w:tmpl w:val="E4402862"/>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2E17ED"/>
    <w:multiLevelType w:val="hybridMultilevel"/>
    <w:tmpl w:val="7D686D02"/>
    <w:lvl w:ilvl="0" w:tplc="60507400">
      <w:start w:val="1"/>
      <w:numFmt w:val="decimal"/>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abstractNumId w:val="7"/>
  </w:num>
  <w:num w:numId="2">
    <w:abstractNumId w:val="10"/>
  </w:num>
  <w:num w:numId="3">
    <w:abstractNumId w:val="6"/>
  </w:num>
  <w:num w:numId="4">
    <w:abstractNumId w:val="12"/>
  </w:num>
  <w:num w:numId="5">
    <w:abstractNumId w:val="1"/>
  </w:num>
  <w:num w:numId="6">
    <w:abstractNumId w:val="5"/>
  </w:num>
  <w:num w:numId="7">
    <w:abstractNumId w:val="15"/>
  </w:num>
  <w:num w:numId="8">
    <w:abstractNumId w:val="11"/>
  </w:num>
  <w:num w:numId="9">
    <w:abstractNumId w:val="2"/>
  </w:num>
  <w:num w:numId="10">
    <w:abstractNumId w:val="8"/>
  </w:num>
  <w:num w:numId="11">
    <w:abstractNumId w:val="0"/>
  </w:num>
  <w:num w:numId="12">
    <w:abstractNumId w:val="14"/>
  </w:num>
  <w:num w:numId="13">
    <w:abstractNumId w:val="9"/>
  </w:num>
  <w:num w:numId="14">
    <w:abstractNumId w:val="3"/>
  </w:num>
  <w:num w:numId="15">
    <w:abstractNumId w:val="4"/>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1"/>
    <w:rsid w:val="000D344E"/>
    <w:rsid w:val="000F044A"/>
    <w:rsid w:val="000F531B"/>
    <w:rsid w:val="00126779"/>
    <w:rsid w:val="00132DB2"/>
    <w:rsid w:val="001A5AE6"/>
    <w:rsid w:val="001B0E9B"/>
    <w:rsid w:val="001C06A8"/>
    <w:rsid w:val="001E190F"/>
    <w:rsid w:val="00235DCE"/>
    <w:rsid w:val="00274585"/>
    <w:rsid w:val="00277AEE"/>
    <w:rsid w:val="002A7544"/>
    <w:rsid w:val="002E639F"/>
    <w:rsid w:val="003635F4"/>
    <w:rsid w:val="003906E4"/>
    <w:rsid w:val="0040616F"/>
    <w:rsid w:val="00444C2E"/>
    <w:rsid w:val="00451AA3"/>
    <w:rsid w:val="00492132"/>
    <w:rsid w:val="00500352"/>
    <w:rsid w:val="00505EDF"/>
    <w:rsid w:val="005B2867"/>
    <w:rsid w:val="005D3A95"/>
    <w:rsid w:val="00601A31"/>
    <w:rsid w:val="007B178F"/>
    <w:rsid w:val="008020CF"/>
    <w:rsid w:val="00851307"/>
    <w:rsid w:val="008E21A5"/>
    <w:rsid w:val="009220A4"/>
    <w:rsid w:val="009363B1"/>
    <w:rsid w:val="009C4F7A"/>
    <w:rsid w:val="00AD1570"/>
    <w:rsid w:val="00B26EB2"/>
    <w:rsid w:val="00B76DD7"/>
    <w:rsid w:val="00BB65F4"/>
    <w:rsid w:val="00C90313"/>
    <w:rsid w:val="00CF069A"/>
    <w:rsid w:val="00D038D4"/>
    <w:rsid w:val="00D63B3A"/>
    <w:rsid w:val="00D6650E"/>
    <w:rsid w:val="00D86C62"/>
    <w:rsid w:val="00D927A7"/>
    <w:rsid w:val="00E50716"/>
    <w:rsid w:val="00E85272"/>
    <w:rsid w:val="00EE0AD0"/>
    <w:rsid w:val="00F036CC"/>
    <w:rsid w:val="00FC7B46"/>
    <w:rsid w:val="00FF14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984F"/>
  <w15:docId w15:val="{B1C51BFD-2EC2-9D4A-B11B-7F75E5CE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01A31"/>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1A31"/>
    <w:rPr>
      <w:rFonts w:ascii="Arial" w:eastAsia="Times New Roman" w:hAnsi="Arial" w:cs="Arial"/>
      <w:b/>
      <w:bCs/>
      <w:szCs w:val="26"/>
      <w:lang w:val="en-US"/>
    </w:rPr>
  </w:style>
  <w:style w:type="paragraph" w:styleId="NoSpacing">
    <w:name w:val="No Spacing"/>
    <w:uiPriority w:val="1"/>
    <w:qFormat/>
    <w:rsid w:val="00601A31"/>
    <w:pPr>
      <w:spacing w:after="0" w:line="240" w:lineRule="auto"/>
    </w:pPr>
    <w:rPr>
      <w:rFonts w:ascii="Calibri" w:hAnsi="Calibri" w:cs="Times New Roman"/>
    </w:rPr>
  </w:style>
  <w:style w:type="character" w:styleId="SubtleEmphasis">
    <w:name w:val="Subtle Emphasis"/>
    <w:basedOn w:val="DefaultParagraphFont"/>
    <w:uiPriority w:val="19"/>
    <w:qFormat/>
    <w:rsid w:val="00601A31"/>
    <w:rPr>
      <w:i/>
      <w:iCs/>
      <w:color w:val="808080" w:themeColor="text1" w:themeTint="7F"/>
    </w:rPr>
  </w:style>
  <w:style w:type="paragraph" w:styleId="BalloonText">
    <w:name w:val="Balloon Text"/>
    <w:basedOn w:val="Normal"/>
    <w:link w:val="BalloonTextChar"/>
    <w:uiPriority w:val="99"/>
    <w:semiHidden/>
    <w:unhideWhenUsed/>
    <w:rsid w:val="006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A31"/>
    <w:rPr>
      <w:rFonts w:ascii="Tahoma" w:hAnsi="Tahoma" w:cs="Tahoma"/>
      <w:sz w:val="16"/>
      <w:szCs w:val="16"/>
    </w:rPr>
  </w:style>
  <w:style w:type="paragraph" w:styleId="NormalWeb">
    <w:name w:val="Normal (Web)"/>
    <w:basedOn w:val="Normal"/>
    <w:rsid w:val="00601A31"/>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601A31"/>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601A31"/>
    <w:rPr>
      <w:rFonts w:ascii="Courier New" w:eastAsia="Times New Roman" w:hAnsi="Courier New" w:cs="Courier New"/>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2634</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3</cp:revision>
  <cp:lastPrinted>2017-05-16T20:29:00Z</cp:lastPrinted>
  <dcterms:created xsi:type="dcterms:W3CDTF">2021-11-16T19:25:00Z</dcterms:created>
  <dcterms:modified xsi:type="dcterms:W3CDTF">2021-11-18T18:28:00Z</dcterms:modified>
</cp:coreProperties>
</file>