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F00DF" w14:textId="77777777" w:rsidR="008F7C7C" w:rsidRPr="00002FD4" w:rsidRDefault="008F7C7C" w:rsidP="008F7C7C">
      <w:pPr>
        <w:jc w:val="center"/>
        <w:rPr>
          <w:rFonts w:ascii="Arial" w:hAnsi="Arial" w:cs="Arial"/>
          <w:b/>
          <w:bCs/>
          <w:sz w:val="20"/>
          <w:lang w:val="fr-CA"/>
        </w:rPr>
      </w:pPr>
      <w:r w:rsidRPr="009666AE">
        <w:rPr>
          <w:noProof/>
          <w:sz w:val="20"/>
          <w:lang w:eastAsia="fr-CA"/>
        </w:rPr>
        <w:drawing>
          <wp:inline distT="0" distB="0" distL="0" distR="0" wp14:anchorId="18550642" wp14:editId="10DDC442">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26BEC6E2" wp14:editId="7FE09AB3">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13159AF"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7D4A4CE9"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CASSELMAN, ON</w:t>
      </w:r>
    </w:p>
    <w:p w14:paraId="26758BA5"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K0A 1M0</w:t>
      </w:r>
    </w:p>
    <w:p w14:paraId="067AFC4E" w14:textId="77777777" w:rsidR="008F7C7C" w:rsidRDefault="008F7C7C" w:rsidP="008F7C7C">
      <w:pPr>
        <w:pStyle w:val="NoSpacing"/>
        <w:jc w:val="center"/>
        <w:rPr>
          <w:rStyle w:val="SubtleEmphasis"/>
          <w:b/>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372DFB20" w14:textId="77777777" w:rsidR="008F7C7C" w:rsidRPr="00002FD4" w:rsidRDefault="008F7C7C" w:rsidP="008F7C7C">
      <w:pPr>
        <w:rPr>
          <w:b/>
          <w:sz w:val="16"/>
          <w:szCs w:val="16"/>
          <w:lang w:val="fr-CA"/>
        </w:rPr>
      </w:pPr>
    </w:p>
    <w:p w14:paraId="7A07DCB4" w14:textId="77777777" w:rsidR="008F7C7C" w:rsidRDefault="008F7C7C" w:rsidP="008F7C7C">
      <w:pPr>
        <w:rPr>
          <w:rFonts w:ascii="Calibri" w:hAnsi="Calibri" w:cs="Calibri"/>
          <w:b/>
          <w:sz w:val="28"/>
          <w:szCs w:val="28"/>
        </w:rPr>
      </w:pPr>
      <w:r>
        <w:rPr>
          <w:rFonts w:ascii="Calibri" w:hAnsi="Calibri" w:cs="Calibri"/>
          <w:b/>
          <w:sz w:val="28"/>
          <w:szCs w:val="28"/>
        </w:rPr>
        <w:t>___________________________________________________________________</w:t>
      </w:r>
    </w:p>
    <w:p w14:paraId="1AAADCAE" w14:textId="77777777" w:rsidR="008F7C7C" w:rsidRPr="007C27EE" w:rsidRDefault="008F7C7C" w:rsidP="008F7C7C">
      <w:pPr>
        <w:pStyle w:val="NormalWeb"/>
        <w:spacing w:before="0" w:beforeAutospacing="0" w:after="0" w:afterAutospacing="0"/>
        <w:rPr>
          <w:rFonts w:ascii="Arial Narrow" w:hAnsi="Arial Narrow"/>
          <w:sz w:val="28"/>
          <w:szCs w:val="28"/>
          <w:lang w:val="fr-CA"/>
        </w:rPr>
      </w:pPr>
    </w:p>
    <w:tbl>
      <w:tblPr>
        <w:tblW w:w="10037" w:type="dxa"/>
        <w:tblInd w:w="114" w:type="dxa"/>
        <w:tblLook w:val="04A0" w:firstRow="1" w:lastRow="0" w:firstColumn="1" w:lastColumn="0" w:noHBand="0" w:noVBand="1"/>
      </w:tblPr>
      <w:tblGrid>
        <w:gridCol w:w="2003"/>
        <w:gridCol w:w="3297"/>
        <w:gridCol w:w="2743"/>
        <w:gridCol w:w="1994"/>
      </w:tblGrid>
      <w:tr w:rsidR="008F7C7C" w:rsidRPr="007C27EE" w14:paraId="40A80B9A" w14:textId="77777777" w:rsidTr="005D1BF7">
        <w:trPr>
          <w:trHeight w:val="365"/>
        </w:trPr>
        <w:tc>
          <w:tcPr>
            <w:tcW w:w="2003" w:type="dxa"/>
          </w:tcPr>
          <w:p w14:paraId="27E0B948"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7330D03A" w14:textId="77777777" w:rsidR="008F7C7C" w:rsidRPr="007C27EE" w:rsidRDefault="008F7C7C" w:rsidP="00C51F94">
            <w:pPr>
              <w:rPr>
                <w:rFonts w:ascii="Arial Narrow" w:hAnsi="Arial Narrow"/>
                <w:color w:val="000000" w:themeColor="text1"/>
                <w:sz w:val="20"/>
                <w:lang w:val="fr-CA"/>
              </w:rPr>
            </w:pPr>
          </w:p>
        </w:tc>
        <w:tc>
          <w:tcPr>
            <w:tcW w:w="3297" w:type="dxa"/>
          </w:tcPr>
          <w:p w14:paraId="32B12F71" w14:textId="1117B780" w:rsidR="008F7C7C" w:rsidRPr="007C27EE"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Opérationnelle</w:t>
            </w:r>
          </w:p>
        </w:tc>
        <w:tc>
          <w:tcPr>
            <w:tcW w:w="2743" w:type="dxa"/>
          </w:tcPr>
          <w:p w14:paraId="5275CAF5"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94" w:type="dxa"/>
          </w:tcPr>
          <w:p w14:paraId="0BF7E8BB" w14:textId="0FAE95FE" w:rsidR="008F7C7C" w:rsidRPr="008F7C7C"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w:t>
            </w:r>
            <w:r w:rsidR="0095499A">
              <w:rPr>
                <w:rFonts w:ascii="Arial Narrow" w:hAnsi="Arial Narrow"/>
                <w:b/>
                <w:color w:val="000000" w:themeColor="text1"/>
                <w:sz w:val="20"/>
                <w:lang w:val="fr-CA"/>
              </w:rPr>
              <w:t>1</w:t>
            </w:r>
            <w:r w:rsidR="00400357">
              <w:rPr>
                <w:rFonts w:ascii="Arial Narrow" w:hAnsi="Arial Narrow"/>
                <w:b/>
                <w:color w:val="000000" w:themeColor="text1"/>
                <w:sz w:val="20"/>
                <w:lang w:val="fr-CA"/>
              </w:rPr>
              <w:t>9</w:t>
            </w:r>
          </w:p>
        </w:tc>
      </w:tr>
      <w:tr w:rsidR="008F7C7C" w:rsidRPr="007C27EE" w14:paraId="2E9FEA7D" w14:textId="77777777" w:rsidTr="005D1BF7">
        <w:trPr>
          <w:trHeight w:val="622"/>
        </w:trPr>
        <w:tc>
          <w:tcPr>
            <w:tcW w:w="2003" w:type="dxa"/>
          </w:tcPr>
          <w:p w14:paraId="09D1D93B"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297" w:type="dxa"/>
          </w:tcPr>
          <w:p w14:paraId="52876E72" w14:textId="35FE378A" w:rsidR="008F7C7C" w:rsidRPr="008D1D0D" w:rsidRDefault="00400357" w:rsidP="00C51F94">
            <w:pPr>
              <w:ind w:right="306"/>
              <w:rPr>
                <w:rFonts w:ascii="Arial Narrow" w:hAnsi="Arial Narrow" w:cs="Arial Narrow"/>
                <w:bCs/>
                <w:color w:val="000000" w:themeColor="text1"/>
                <w:sz w:val="20"/>
                <w:lang w:val="fr-CA"/>
              </w:rPr>
            </w:pPr>
            <w:r>
              <w:rPr>
                <w:rFonts w:ascii="Arial Narrow" w:hAnsi="Arial Narrow"/>
                <w:bCs/>
                <w:color w:val="000000" w:themeColor="text1"/>
                <w:sz w:val="20"/>
                <w:lang w:val="fr-CA"/>
              </w:rPr>
              <w:t>La bibliothèque et les élections politiques</w:t>
            </w:r>
          </w:p>
        </w:tc>
        <w:tc>
          <w:tcPr>
            <w:tcW w:w="2743" w:type="dxa"/>
          </w:tcPr>
          <w:p w14:paraId="30A4E63A" w14:textId="079F8FF5"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sidR="00A00FB8">
              <w:rPr>
                <w:rFonts w:ascii="Arial Narrow" w:hAnsi="Arial Narrow"/>
                <w:color w:val="000000" w:themeColor="text1"/>
                <w:sz w:val="20"/>
                <w:lang w:val="fr-CA"/>
              </w:rPr>
              <w:br/>
            </w:r>
            <w:r>
              <w:rPr>
                <w:rFonts w:ascii="Arial Narrow" w:hAnsi="Arial Narrow"/>
                <w:color w:val="000000" w:themeColor="text1"/>
                <w:sz w:val="20"/>
                <w:lang w:val="fr-CA"/>
              </w:rPr>
              <w:br/>
            </w:r>
          </w:p>
        </w:tc>
        <w:tc>
          <w:tcPr>
            <w:tcW w:w="1994" w:type="dxa"/>
          </w:tcPr>
          <w:p w14:paraId="41211E9B" w14:textId="77777777" w:rsidR="008F7C7C" w:rsidRPr="007C27EE" w:rsidRDefault="008F7C7C" w:rsidP="00C51F94">
            <w:pPr>
              <w:rPr>
                <w:rFonts w:ascii="Arial Narrow" w:hAnsi="Arial Narrow"/>
                <w:b/>
                <w:color w:val="000000" w:themeColor="text1"/>
                <w:sz w:val="20"/>
                <w:lang w:val="fr-CA"/>
              </w:rPr>
            </w:pPr>
          </w:p>
        </w:tc>
      </w:tr>
      <w:tr w:rsidR="008F7C7C" w:rsidRPr="00350507" w14:paraId="1381D2E4" w14:textId="77777777" w:rsidTr="005D1BF7">
        <w:trPr>
          <w:trHeight w:val="476"/>
        </w:trPr>
        <w:tc>
          <w:tcPr>
            <w:tcW w:w="2003" w:type="dxa"/>
          </w:tcPr>
          <w:p w14:paraId="47F39081" w14:textId="77777777" w:rsidR="008F7C7C" w:rsidRPr="007C27EE" w:rsidRDefault="008F7C7C" w:rsidP="00C51F94">
            <w:pPr>
              <w:rPr>
                <w:rFonts w:ascii="Arial Narrow" w:hAnsi="Arial Narrow"/>
                <w:color w:val="000000" w:themeColor="text1"/>
                <w:sz w:val="20"/>
                <w:lang w:val="fr-CA"/>
              </w:rPr>
            </w:pPr>
          </w:p>
        </w:tc>
        <w:tc>
          <w:tcPr>
            <w:tcW w:w="3297" w:type="dxa"/>
          </w:tcPr>
          <w:p w14:paraId="65FB8F8F" w14:textId="77777777" w:rsidR="008F7C7C" w:rsidRPr="007C27EE" w:rsidRDefault="008F7C7C" w:rsidP="00C51F94">
            <w:pPr>
              <w:rPr>
                <w:rFonts w:ascii="Arial Narrow" w:hAnsi="Arial Narrow"/>
                <w:color w:val="000000" w:themeColor="text1"/>
                <w:sz w:val="20"/>
                <w:lang w:val="fr-CA"/>
              </w:rPr>
            </w:pPr>
          </w:p>
        </w:tc>
        <w:tc>
          <w:tcPr>
            <w:tcW w:w="2743" w:type="dxa"/>
          </w:tcPr>
          <w:p w14:paraId="7EBF53F6"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94" w:type="dxa"/>
          </w:tcPr>
          <w:p w14:paraId="0D04FD9B" w14:textId="77777777" w:rsidR="008F7C7C" w:rsidRPr="007C27EE" w:rsidRDefault="008F7C7C" w:rsidP="00C51F94">
            <w:pPr>
              <w:rPr>
                <w:rFonts w:ascii="Arial Narrow" w:hAnsi="Arial Narrow"/>
                <w:b/>
                <w:color w:val="000000" w:themeColor="text1"/>
                <w:sz w:val="20"/>
                <w:lang w:val="fr-CA"/>
              </w:rPr>
            </w:pPr>
          </w:p>
        </w:tc>
      </w:tr>
      <w:tr w:rsidR="008F7C7C" w:rsidRPr="00350507" w14:paraId="056A3BD9" w14:textId="77777777" w:rsidTr="005D1BF7">
        <w:trPr>
          <w:trHeight w:val="476"/>
        </w:trPr>
        <w:tc>
          <w:tcPr>
            <w:tcW w:w="2003" w:type="dxa"/>
            <w:tcBorders>
              <w:bottom w:val="single" w:sz="4" w:space="0" w:color="auto"/>
            </w:tcBorders>
          </w:tcPr>
          <w:p w14:paraId="7684356A" w14:textId="77777777" w:rsidR="008F7C7C" w:rsidRPr="007C27EE" w:rsidRDefault="008F7C7C" w:rsidP="00C51F94">
            <w:pPr>
              <w:rPr>
                <w:rFonts w:ascii="Arial Narrow" w:hAnsi="Arial Narrow"/>
                <w:color w:val="000000" w:themeColor="text1"/>
                <w:sz w:val="20"/>
                <w:lang w:val="fr-CA"/>
              </w:rPr>
            </w:pPr>
          </w:p>
        </w:tc>
        <w:tc>
          <w:tcPr>
            <w:tcW w:w="3297" w:type="dxa"/>
            <w:tcBorders>
              <w:bottom w:val="single" w:sz="4" w:space="0" w:color="auto"/>
            </w:tcBorders>
          </w:tcPr>
          <w:p w14:paraId="49021360" w14:textId="77777777" w:rsidR="008F7C7C" w:rsidRPr="007C27EE" w:rsidRDefault="008F7C7C" w:rsidP="00C51F94">
            <w:pPr>
              <w:rPr>
                <w:rFonts w:ascii="Arial Narrow" w:hAnsi="Arial Narrow"/>
                <w:color w:val="000000" w:themeColor="text1"/>
                <w:sz w:val="20"/>
                <w:lang w:val="fr-CA"/>
              </w:rPr>
            </w:pPr>
          </w:p>
        </w:tc>
        <w:tc>
          <w:tcPr>
            <w:tcW w:w="2743" w:type="dxa"/>
            <w:tcBorders>
              <w:bottom w:val="single" w:sz="4" w:space="0" w:color="auto"/>
            </w:tcBorders>
          </w:tcPr>
          <w:p w14:paraId="6FAE2B0E"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94" w:type="dxa"/>
            <w:tcBorders>
              <w:bottom w:val="single" w:sz="4" w:space="0" w:color="auto"/>
            </w:tcBorders>
          </w:tcPr>
          <w:p w14:paraId="07B6A87B" w14:textId="77777777" w:rsidR="008F7C7C" w:rsidRPr="007C27EE" w:rsidRDefault="008F7C7C" w:rsidP="00C51F94">
            <w:pPr>
              <w:rPr>
                <w:rFonts w:ascii="Arial Narrow" w:hAnsi="Arial Narrow"/>
                <w:b/>
                <w:color w:val="000000" w:themeColor="text1"/>
                <w:sz w:val="20"/>
                <w:lang w:val="fr-CA"/>
              </w:rPr>
            </w:pPr>
          </w:p>
        </w:tc>
      </w:tr>
    </w:tbl>
    <w:p w14:paraId="61613DA7" w14:textId="49982127" w:rsidR="006A14AC" w:rsidRPr="00B065F7" w:rsidRDefault="006A14AC" w:rsidP="006A14AC">
      <w:pPr>
        <w:pStyle w:val="NormalWeb"/>
        <w:tabs>
          <w:tab w:val="left" w:pos="720"/>
        </w:tabs>
        <w:spacing w:before="0" w:beforeAutospacing="0" w:after="0" w:afterAutospacing="0"/>
        <w:rPr>
          <w:rFonts w:ascii="Arial Narrow" w:hAnsi="Arial Narrow" w:cs="Arial Narrow"/>
          <w:bCs/>
          <w:lang w:val="fr-FR"/>
        </w:rPr>
      </w:pPr>
    </w:p>
    <w:p w14:paraId="2F55EF46" w14:textId="77777777" w:rsidR="00400357" w:rsidRPr="00077A2B" w:rsidRDefault="00400357" w:rsidP="00400357">
      <w:pPr>
        <w:tabs>
          <w:tab w:val="left" w:pos="90"/>
        </w:tabs>
        <w:rPr>
          <w:rFonts w:ascii="Arial Narrow" w:hAnsi="Arial Narrow"/>
          <w:sz w:val="20"/>
          <w:lang w:val="fr-CA"/>
        </w:rPr>
      </w:pPr>
    </w:p>
    <w:p w14:paraId="0EC916D4" w14:textId="77777777" w:rsidR="00400357" w:rsidRPr="00BB2B04" w:rsidRDefault="00400357" w:rsidP="00400357">
      <w:pPr>
        <w:autoSpaceDE w:val="0"/>
        <w:autoSpaceDN w:val="0"/>
        <w:adjustRightInd w:val="0"/>
        <w:rPr>
          <w:rFonts w:ascii="Arial Narrow" w:hAnsi="Arial Narrow" w:cs="TimesNewRoman"/>
          <w:b/>
          <w:sz w:val="22"/>
          <w:szCs w:val="22"/>
          <w:lang w:val="fr-CA"/>
        </w:rPr>
      </w:pPr>
      <w:r w:rsidRPr="00BB2B04">
        <w:rPr>
          <w:rFonts w:ascii="Arial Narrow" w:hAnsi="Arial Narrow" w:cs="TimesNewRoman"/>
          <w:b/>
          <w:sz w:val="22"/>
          <w:szCs w:val="22"/>
          <w:lang w:val="fr-CA"/>
        </w:rPr>
        <w:t>Section 1 : Portée et cadre juridique</w:t>
      </w:r>
    </w:p>
    <w:p w14:paraId="537D7C4C" w14:textId="77777777" w:rsidR="00400357" w:rsidRDefault="00400357" w:rsidP="00400357">
      <w:pPr>
        <w:autoSpaceDE w:val="0"/>
        <w:autoSpaceDN w:val="0"/>
        <w:adjustRightInd w:val="0"/>
        <w:rPr>
          <w:rFonts w:ascii="Arial Narrow" w:hAnsi="Arial Narrow" w:cs="TimesNewRoman"/>
          <w:sz w:val="20"/>
          <w:lang w:val="fr-CA"/>
        </w:rPr>
      </w:pPr>
    </w:p>
    <w:p w14:paraId="1016576D" w14:textId="77777777" w:rsidR="00400357" w:rsidRPr="00FE66F7" w:rsidRDefault="00400357" w:rsidP="00400357">
      <w:pPr>
        <w:pStyle w:val="Body"/>
        <w:tabs>
          <w:tab w:val="left" w:pos="360"/>
        </w:tabs>
        <w:rPr>
          <w:rFonts w:ascii="Arial Narrow" w:eastAsia="Calibri" w:hAnsi="Arial Narrow" w:cstheme="minorHAnsi"/>
          <w:sz w:val="20"/>
          <w:szCs w:val="20"/>
          <w:highlight w:val="yellow"/>
        </w:rPr>
      </w:pPr>
      <w:r w:rsidRPr="00EA792F">
        <w:rPr>
          <w:rFonts w:ascii="Arial Narrow" w:hAnsi="Arial Narrow" w:cs="TimesNewRoman"/>
          <w:sz w:val="20"/>
          <w:lang w:val="fr-CA"/>
        </w:rPr>
        <w:t xml:space="preserve">La bibliothèque doit agir et paraître agir de façon non partisane, à tout moment, mais surtout pendant les périodes électorales, </w:t>
      </w:r>
      <w:r>
        <w:rPr>
          <w:rFonts w:ascii="Arial Narrow" w:hAnsi="Arial Narrow" w:cs="TimesNewRoman"/>
          <w:sz w:val="20"/>
          <w:lang w:val="fr-CA"/>
        </w:rPr>
        <w:t xml:space="preserve">tout </w:t>
      </w:r>
      <w:r w:rsidRPr="00EA792F">
        <w:rPr>
          <w:rFonts w:ascii="Arial Narrow" w:hAnsi="Arial Narrow" w:cs="TimesNewRoman"/>
          <w:sz w:val="20"/>
          <w:lang w:val="fr-CA"/>
        </w:rPr>
        <w:t xml:space="preserve">en soutenant le processus démocratique, la liberté d’expression et les débats éclairés sur les questions politiques. La bibliothèque doit se conformer à la législation relative aux élections. </w:t>
      </w:r>
      <w:r>
        <w:rPr>
          <w:rFonts w:ascii="Arial Narrow" w:hAnsi="Arial Narrow" w:cs="TimesNewRoman"/>
          <w:sz w:val="20"/>
          <w:lang w:val="fr-CA"/>
        </w:rPr>
        <w:t xml:space="preserve">Ces règlements sont inclus dans la </w:t>
      </w:r>
      <w:r w:rsidRPr="008E6471">
        <w:rPr>
          <w:rFonts w:ascii="Arial Narrow" w:hAnsi="Arial Narrow" w:cs="TimesNewRoman"/>
          <w:i/>
          <w:sz w:val="20"/>
          <w:lang w:val="fr-CA"/>
        </w:rPr>
        <w:t>Loi de 1996 sur les élections municipales</w:t>
      </w:r>
      <w:r>
        <w:rPr>
          <w:rFonts w:ascii="Arial Narrow" w:hAnsi="Arial Narrow" w:cs="TimesNewRoman"/>
          <w:sz w:val="20"/>
          <w:lang w:val="fr-CA"/>
        </w:rPr>
        <w:t xml:space="preserve"> et modifiés par le Projet de loi 181, la </w:t>
      </w:r>
      <w:r w:rsidRPr="008E6471">
        <w:rPr>
          <w:rFonts w:ascii="Arial Narrow" w:hAnsi="Arial Narrow" w:cs="TimesNewRoman"/>
          <w:i/>
          <w:sz w:val="20"/>
          <w:lang w:val="fr-CA"/>
        </w:rPr>
        <w:t>Loi de 2016 sur la modernisation des élections municipales</w:t>
      </w:r>
      <w:r>
        <w:rPr>
          <w:rFonts w:ascii="Arial Narrow" w:hAnsi="Arial Narrow" w:cs="TimesNewRoman"/>
          <w:sz w:val="20"/>
          <w:lang w:val="fr-CA"/>
        </w:rPr>
        <w:t xml:space="preserve">. </w:t>
      </w:r>
      <w:r w:rsidRPr="00123D98">
        <w:rPr>
          <w:rFonts w:ascii="Arial Narrow" w:hAnsi="Arial Narrow" w:cs="TimesNewRoman"/>
          <w:sz w:val="20"/>
          <w:lang w:val="fr-FR"/>
        </w:rPr>
        <w:t xml:space="preserve">En particulier, l’article 88.18 </w:t>
      </w:r>
      <w:r w:rsidRPr="00123D98">
        <w:rPr>
          <w:rFonts w:ascii="Arial Narrow" w:hAnsi="Arial Narrow" w:cs="TimesNewRoman"/>
          <w:i/>
          <w:sz w:val="20"/>
          <w:lang w:val="fr-FR"/>
        </w:rPr>
        <w:t>Utilisation des ressources des munici</w:t>
      </w:r>
      <w:r>
        <w:rPr>
          <w:rFonts w:ascii="Arial Narrow" w:hAnsi="Arial Narrow" w:cs="TimesNewRoman"/>
          <w:i/>
          <w:sz w:val="20"/>
          <w:lang w:val="fr-FR"/>
        </w:rPr>
        <w:t xml:space="preserve">palités et des conseils </w:t>
      </w:r>
      <w:r>
        <w:rPr>
          <w:rFonts w:ascii="Arial Narrow" w:hAnsi="Arial Narrow" w:cs="TimesNewRoman"/>
          <w:sz w:val="20"/>
          <w:lang w:val="fr-FR"/>
        </w:rPr>
        <w:t>déclare :</w:t>
      </w:r>
      <w:r w:rsidRPr="00123D98">
        <w:rPr>
          <w:rFonts w:ascii="Arial Narrow" w:eastAsia="Calibri" w:hAnsi="Arial Narrow" w:cstheme="minorHAnsi"/>
          <w:sz w:val="20"/>
          <w:szCs w:val="20"/>
          <w:highlight w:val="yellow"/>
          <w:lang w:val="fr-FR"/>
        </w:rPr>
        <w:t xml:space="preserve"> </w:t>
      </w:r>
    </w:p>
    <w:p w14:paraId="4424AA4B" w14:textId="77777777" w:rsidR="00400357" w:rsidRPr="00123D98" w:rsidRDefault="00400357" w:rsidP="00400357">
      <w:pPr>
        <w:pStyle w:val="Quote"/>
        <w:spacing w:before="0" w:after="0"/>
        <w:jc w:val="left"/>
        <w:rPr>
          <w:rFonts w:ascii="Arial Narrow" w:eastAsia="Calibri" w:hAnsi="Arial Narrow" w:cstheme="minorHAnsi"/>
          <w:color w:val="000000" w:themeColor="text1"/>
          <w:sz w:val="20"/>
          <w:szCs w:val="20"/>
          <w:lang w:val="da-DK"/>
        </w:rPr>
      </w:pPr>
      <w:proofErr w:type="spellStart"/>
      <w:r w:rsidRPr="00123D98">
        <w:rPr>
          <w:rFonts w:ascii="Arial Narrow" w:eastAsia="Calibri" w:hAnsi="Arial Narrow" w:cstheme="minorHAnsi"/>
          <w:color w:val="000000" w:themeColor="text1"/>
          <w:sz w:val="20"/>
          <w:szCs w:val="20"/>
          <w:lang w:val="da-DK"/>
        </w:rPr>
        <w:t>Avant</w:t>
      </w:r>
      <w:proofErr w:type="spellEnd"/>
      <w:r w:rsidRPr="00123D98">
        <w:rPr>
          <w:rFonts w:ascii="Arial Narrow" w:eastAsia="Calibri" w:hAnsi="Arial Narrow" w:cstheme="minorHAnsi"/>
          <w:color w:val="000000" w:themeColor="text1"/>
          <w:sz w:val="20"/>
          <w:szCs w:val="20"/>
          <w:lang w:val="da-DK"/>
        </w:rPr>
        <w:t xml:space="preserve"> le 1</w:t>
      </w:r>
      <w:r w:rsidRPr="00123D98">
        <w:rPr>
          <w:rFonts w:ascii="Arial Narrow" w:eastAsia="Calibri" w:hAnsi="Arial Narrow" w:cstheme="minorHAnsi"/>
          <w:color w:val="000000" w:themeColor="text1"/>
          <w:sz w:val="20"/>
          <w:szCs w:val="20"/>
          <w:vertAlign w:val="superscript"/>
          <w:lang w:val="da-DK"/>
        </w:rPr>
        <w:t>er</w:t>
      </w:r>
      <w:r w:rsidRPr="00123D98">
        <w:rPr>
          <w:rFonts w:ascii="Arial Narrow" w:eastAsia="Calibri" w:hAnsi="Arial Narrow" w:cstheme="minorHAnsi"/>
          <w:color w:val="000000" w:themeColor="text1"/>
          <w:sz w:val="20"/>
          <w:szCs w:val="20"/>
          <w:lang w:val="da-DK"/>
        </w:rPr>
        <w:t xml:space="preserve"> </w:t>
      </w:r>
      <w:proofErr w:type="spellStart"/>
      <w:r w:rsidRPr="00123D98">
        <w:rPr>
          <w:rFonts w:ascii="Arial Narrow" w:eastAsia="Calibri" w:hAnsi="Arial Narrow" w:cstheme="minorHAnsi"/>
          <w:color w:val="000000" w:themeColor="text1"/>
          <w:sz w:val="20"/>
          <w:szCs w:val="20"/>
          <w:lang w:val="da-DK"/>
        </w:rPr>
        <w:t>mai</w:t>
      </w:r>
      <w:proofErr w:type="spellEnd"/>
      <w:r w:rsidRPr="00123D98">
        <w:rPr>
          <w:rFonts w:ascii="Arial Narrow" w:eastAsia="Calibri" w:hAnsi="Arial Narrow" w:cstheme="minorHAnsi"/>
          <w:color w:val="000000" w:themeColor="text1"/>
          <w:sz w:val="20"/>
          <w:szCs w:val="20"/>
          <w:lang w:val="da-DK"/>
        </w:rPr>
        <w:t xml:space="preserve"> de </w:t>
      </w:r>
      <w:proofErr w:type="spellStart"/>
      <w:r w:rsidRPr="00123D98">
        <w:rPr>
          <w:rFonts w:ascii="Arial Narrow" w:eastAsia="Calibri" w:hAnsi="Arial Narrow" w:cstheme="minorHAnsi"/>
          <w:color w:val="000000" w:themeColor="text1"/>
          <w:sz w:val="20"/>
          <w:szCs w:val="20"/>
          <w:lang w:val="da-DK"/>
        </w:rPr>
        <w:t>l’année</w:t>
      </w:r>
      <w:proofErr w:type="spellEnd"/>
      <w:r w:rsidRPr="00123D98">
        <w:rPr>
          <w:rFonts w:ascii="Arial Narrow" w:eastAsia="Calibri" w:hAnsi="Arial Narrow" w:cstheme="minorHAnsi"/>
          <w:color w:val="000000" w:themeColor="text1"/>
          <w:sz w:val="20"/>
          <w:szCs w:val="20"/>
          <w:lang w:val="da-DK"/>
        </w:rPr>
        <w:t xml:space="preserve"> </w:t>
      </w:r>
      <w:proofErr w:type="spellStart"/>
      <w:r w:rsidRPr="00123D98">
        <w:rPr>
          <w:rFonts w:ascii="Arial Narrow" w:eastAsia="Calibri" w:hAnsi="Arial Narrow" w:cstheme="minorHAnsi"/>
          <w:color w:val="000000" w:themeColor="text1"/>
          <w:sz w:val="20"/>
          <w:szCs w:val="20"/>
          <w:lang w:val="da-DK"/>
        </w:rPr>
        <w:t>d’une</w:t>
      </w:r>
      <w:proofErr w:type="spellEnd"/>
      <w:r w:rsidRPr="00123D98">
        <w:rPr>
          <w:rFonts w:ascii="Arial Narrow" w:eastAsia="Calibri" w:hAnsi="Arial Narrow" w:cstheme="minorHAnsi"/>
          <w:color w:val="000000" w:themeColor="text1"/>
          <w:sz w:val="20"/>
          <w:szCs w:val="20"/>
          <w:lang w:val="da-DK"/>
        </w:rPr>
        <w:t xml:space="preserve"> </w:t>
      </w:r>
      <w:proofErr w:type="spellStart"/>
      <w:r w:rsidRPr="00123D98">
        <w:rPr>
          <w:rFonts w:ascii="Arial Narrow" w:eastAsia="Calibri" w:hAnsi="Arial Narrow" w:cstheme="minorHAnsi"/>
          <w:color w:val="000000" w:themeColor="text1"/>
          <w:sz w:val="20"/>
          <w:szCs w:val="20"/>
          <w:lang w:val="da-DK"/>
        </w:rPr>
        <w:t>élection</w:t>
      </w:r>
      <w:proofErr w:type="spellEnd"/>
      <w:r w:rsidRPr="00123D98">
        <w:rPr>
          <w:rFonts w:ascii="Arial Narrow" w:eastAsia="Calibri" w:hAnsi="Arial Narrow" w:cstheme="minorHAnsi"/>
          <w:color w:val="000000" w:themeColor="text1"/>
          <w:sz w:val="20"/>
          <w:szCs w:val="20"/>
          <w:lang w:val="da-DK"/>
        </w:rPr>
        <w:t xml:space="preserve"> </w:t>
      </w:r>
      <w:proofErr w:type="spellStart"/>
      <w:r w:rsidRPr="00123D98">
        <w:rPr>
          <w:rFonts w:ascii="Arial Narrow" w:eastAsia="Calibri" w:hAnsi="Arial Narrow" w:cstheme="minorHAnsi"/>
          <w:color w:val="000000" w:themeColor="text1"/>
          <w:sz w:val="20"/>
          <w:szCs w:val="20"/>
          <w:lang w:val="da-DK"/>
        </w:rPr>
        <w:t>ordinaire</w:t>
      </w:r>
      <w:proofErr w:type="spellEnd"/>
      <w:r w:rsidRPr="00123D98">
        <w:rPr>
          <w:rFonts w:ascii="Arial Narrow" w:eastAsia="Calibri" w:hAnsi="Arial Narrow" w:cstheme="minorHAnsi"/>
          <w:color w:val="000000" w:themeColor="text1"/>
          <w:sz w:val="20"/>
          <w:szCs w:val="20"/>
          <w:lang w:val="da-DK"/>
        </w:rPr>
        <w:t xml:space="preserve">, les </w:t>
      </w:r>
      <w:proofErr w:type="spellStart"/>
      <w:r w:rsidRPr="00123D98">
        <w:rPr>
          <w:rFonts w:ascii="Arial Narrow" w:eastAsia="Calibri" w:hAnsi="Arial Narrow" w:cstheme="minorHAnsi"/>
          <w:color w:val="000000" w:themeColor="text1"/>
          <w:sz w:val="20"/>
          <w:szCs w:val="20"/>
          <w:lang w:val="da-DK"/>
        </w:rPr>
        <w:t>municipalités</w:t>
      </w:r>
      <w:proofErr w:type="spellEnd"/>
      <w:r w:rsidRPr="00123D98">
        <w:rPr>
          <w:rFonts w:ascii="Arial Narrow" w:eastAsia="Calibri" w:hAnsi="Arial Narrow" w:cstheme="minorHAnsi"/>
          <w:color w:val="000000" w:themeColor="text1"/>
          <w:sz w:val="20"/>
          <w:szCs w:val="20"/>
          <w:lang w:val="da-DK"/>
        </w:rPr>
        <w:t xml:space="preserve"> et les </w:t>
      </w:r>
      <w:proofErr w:type="spellStart"/>
      <w:r w:rsidRPr="00123D98">
        <w:rPr>
          <w:rFonts w:ascii="Arial Narrow" w:eastAsia="Calibri" w:hAnsi="Arial Narrow" w:cstheme="minorHAnsi"/>
          <w:color w:val="000000" w:themeColor="text1"/>
          <w:sz w:val="20"/>
          <w:szCs w:val="20"/>
          <w:lang w:val="da-DK"/>
        </w:rPr>
        <w:t>conseils</w:t>
      </w:r>
      <w:proofErr w:type="spellEnd"/>
      <w:r w:rsidRPr="00123D98">
        <w:rPr>
          <w:rFonts w:ascii="Arial Narrow" w:eastAsia="Calibri" w:hAnsi="Arial Narrow" w:cstheme="minorHAnsi"/>
          <w:color w:val="000000" w:themeColor="text1"/>
          <w:sz w:val="20"/>
          <w:szCs w:val="20"/>
          <w:lang w:val="da-DK"/>
        </w:rPr>
        <w:t xml:space="preserve"> </w:t>
      </w:r>
      <w:proofErr w:type="spellStart"/>
      <w:r w:rsidRPr="00123D98">
        <w:rPr>
          <w:rFonts w:ascii="Arial Narrow" w:eastAsia="Calibri" w:hAnsi="Arial Narrow" w:cstheme="minorHAnsi"/>
          <w:color w:val="000000" w:themeColor="text1"/>
          <w:sz w:val="20"/>
          <w:szCs w:val="20"/>
          <w:lang w:val="da-DK"/>
        </w:rPr>
        <w:t>locaux</w:t>
      </w:r>
      <w:proofErr w:type="spellEnd"/>
      <w:r w:rsidRPr="00123D98">
        <w:rPr>
          <w:rFonts w:ascii="Arial Narrow" w:eastAsia="Calibri" w:hAnsi="Arial Narrow" w:cstheme="minorHAnsi"/>
          <w:color w:val="000000" w:themeColor="text1"/>
          <w:sz w:val="20"/>
          <w:szCs w:val="20"/>
          <w:lang w:val="da-DK"/>
        </w:rPr>
        <w:t xml:space="preserve"> </w:t>
      </w:r>
      <w:proofErr w:type="spellStart"/>
      <w:r w:rsidRPr="00123D98">
        <w:rPr>
          <w:rFonts w:ascii="Arial Narrow" w:eastAsia="Calibri" w:hAnsi="Arial Narrow" w:cstheme="minorHAnsi"/>
          <w:color w:val="000000" w:themeColor="text1"/>
          <w:sz w:val="20"/>
          <w:szCs w:val="20"/>
          <w:lang w:val="da-DK"/>
        </w:rPr>
        <w:t>établissent</w:t>
      </w:r>
      <w:proofErr w:type="spellEnd"/>
      <w:r w:rsidRPr="00123D98">
        <w:rPr>
          <w:rFonts w:ascii="Arial Narrow" w:eastAsia="Calibri" w:hAnsi="Arial Narrow" w:cstheme="minorHAnsi"/>
          <w:color w:val="000000" w:themeColor="text1"/>
          <w:sz w:val="20"/>
          <w:szCs w:val="20"/>
          <w:lang w:val="da-DK"/>
        </w:rPr>
        <w:t xml:space="preserve"> des </w:t>
      </w:r>
      <w:proofErr w:type="spellStart"/>
      <w:r w:rsidRPr="00123D98">
        <w:rPr>
          <w:rFonts w:ascii="Arial Narrow" w:eastAsia="Calibri" w:hAnsi="Arial Narrow" w:cstheme="minorHAnsi"/>
          <w:color w:val="000000" w:themeColor="text1"/>
          <w:sz w:val="20"/>
          <w:szCs w:val="20"/>
          <w:lang w:val="da-DK"/>
        </w:rPr>
        <w:t>règles</w:t>
      </w:r>
      <w:proofErr w:type="spellEnd"/>
      <w:r w:rsidRPr="00123D98">
        <w:rPr>
          <w:rFonts w:ascii="Arial Narrow" w:eastAsia="Calibri" w:hAnsi="Arial Narrow" w:cstheme="minorHAnsi"/>
          <w:color w:val="000000" w:themeColor="text1"/>
          <w:sz w:val="20"/>
          <w:szCs w:val="20"/>
          <w:lang w:val="da-DK"/>
        </w:rPr>
        <w:t xml:space="preserve"> et des </w:t>
      </w:r>
      <w:proofErr w:type="spellStart"/>
      <w:r w:rsidRPr="00123D98">
        <w:rPr>
          <w:rFonts w:ascii="Arial Narrow" w:eastAsia="Calibri" w:hAnsi="Arial Narrow" w:cstheme="minorHAnsi"/>
          <w:color w:val="000000" w:themeColor="text1"/>
          <w:sz w:val="20"/>
          <w:szCs w:val="20"/>
          <w:lang w:val="da-DK"/>
        </w:rPr>
        <w:t>modalités</w:t>
      </w:r>
      <w:proofErr w:type="spellEnd"/>
      <w:r w:rsidRPr="00123D98">
        <w:rPr>
          <w:rFonts w:ascii="Arial Narrow" w:eastAsia="Calibri" w:hAnsi="Arial Narrow" w:cstheme="minorHAnsi"/>
          <w:color w:val="000000" w:themeColor="text1"/>
          <w:sz w:val="20"/>
          <w:szCs w:val="20"/>
          <w:lang w:val="da-DK"/>
        </w:rPr>
        <w:t xml:space="preserve"> en ce </w:t>
      </w:r>
      <w:proofErr w:type="spellStart"/>
      <w:r w:rsidRPr="00123D98">
        <w:rPr>
          <w:rFonts w:ascii="Arial Narrow" w:eastAsia="Calibri" w:hAnsi="Arial Narrow" w:cstheme="minorHAnsi"/>
          <w:color w:val="000000" w:themeColor="text1"/>
          <w:sz w:val="20"/>
          <w:szCs w:val="20"/>
          <w:lang w:val="da-DK"/>
        </w:rPr>
        <w:t>qui</w:t>
      </w:r>
      <w:proofErr w:type="spellEnd"/>
      <w:r w:rsidRPr="00123D98">
        <w:rPr>
          <w:rFonts w:ascii="Arial Narrow" w:eastAsia="Calibri" w:hAnsi="Arial Narrow" w:cstheme="minorHAnsi"/>
          <w:color w:val="000000" w:themeColor="text1"/>
          <w:sz w:val="20"/>
          <w:szCs w:val="20"/>
          <w:lang w:val="da-DK"/>
        </w:rPr>
        <w:t xml:space="preserve"> </w:t>
      </w:r>
      <w:proofErr w:type="spellStart"/>
      <w:r w:rsidRPr="00123D98">
        <w:rPr>
          <w:rFonts w:ascii="Arial Narrow" w:eastAsia="Calibri" w:hAnsi="Arial Narrow" w:cstheme="minorHAnsi"/>
          <w:color w:val="000000" w:themeColor="text1"/>
          <w:sz w:val="20"/>
          <w:szCs w:val="20"/>
          <w:lang w:val="da-DK"/>
        </w:rPr>
        <w:t>concerne</w:t>
      </w:r>
      <w:proofErr w:type="spellEnd"/>
      <w:r w:rsidRPr="00123D98">
        <w:rPr>
          <w:rFonts w:ascii="Arial Narrow" w:eastAsia="Calibri" w:hAnsi="Arial Narrow" w:cstheme="minorHAnsi"/>
          <w:color w:val="000000" w:themeColor="text1"/>
          <w:sz w:val="20"/>
          <w:szCs w:val="20"/>
          <w:lang w:val="da-DK"/>
        </w:rPr>
        <w:t xml:space="preserve"> </w:t>
      </w:r>
      <w:proofErr w:type="spellStart"/>
      <w:r w:rsidRPr="00123D98">
        <w:rPr>
          <w:rFonts w:ascii="Arial Narrow" w:eastAsia="Calibri" w:hAnsi="Arial Narrow" w:cstheme="minorHAnsi"/>
          <w:color w:val="000000" w:themeColor="text1"/>
          <w:sz w:val="20"/>
          <w:szCs w:val="20"/>
          <w:lang w:val="da-DK"/>
        </w:rPr>
        <w:t>l’tuilisation</w:t>
      </w:r>
      <w:proofErr w:type="spellEnd"/>
      <w:r w:rsidRPr="00123D98">
        <w:rPr>
          <w:rFonts w:ascii="Arial Narrow" w:eastAsia="Calibri" w:hAnsi="Arial Narrow" w:cstheme="minorHAnsi"/>
          <w:color w:val="000000" w:themeColor="text1"/>
          <w:sz w:val="20"/>
          <w:szCs w:val="20"/>
          <w:lang w:val="da-DK"/>
        </w:rPr>
        <w:t xml:space="preserve"> de </w:t>
      </w:r>
      <w:proofErr w:type="spellStart"/>
      <w:r w:rsidRPr="00123D98">
        <w:rPr>
          <w:rFonts w:ascii="Arial Narrow" w:eastAsia="Calibri" w:hAnsi="Arial Narrow" w:cstheme="minorHAnsi"/>
          <w:color w:val="000000" w:themeColor="text1"/>
          <w:sz w:val="20"/>
          <w:szCs w:val="20"/>
          <w:lang w:val="da-DK"/>
        </w:rPr>
        <w:t>leurs</w:t>
      </w:r>
      <w:proofErr w:type="spellEnd"/>
      <w:r w:rsidRPr="00123D98">
        <w:rPr>
          <w:rFonts w:ascii="Arial Narrow" w:eastAsia="Calibri" w:hAnsi="Arial Narrow" w:cstheme="minorHAnsi"/>
          <w:color w:val="000000" w:themeColor="text1"/>
          <w:sz w:val="20"/>
          <w:szCs w:val="20"/>
          <w:lang w:val="da-DK"/>
        </w:rPr>
        <w:t xml:space="preserve"> ressources </w:t>
      </w:r>
      <w:proofErr w:type="spellStart"/>
      <w:r w:rsidRPr="00123D98">
        <w:rPr>
          <w:rFonts w:ascii="Arial Narrow" w:eastAsia="Calibri" w:hAnsi="Arial Narrow" w:cstheme="minorHAnsi"/>
          <w:color w:val="000000" w:themeColor="text1"/>
          <w:sz w:val="20"/>
          <w:szCs w:val="20"/>
          <w:lang w:val="da-DK"/>
        </w:rPr>
        <w:t>respectives</w:t>
      </w:r>
      <w:proofErr w:type="spellEnd"/>
      <w:r w:rsidRPr="00123D98">
        <w:rPr>
          <w:rFonts w:ascii="Arial Narrow" w:eastAsia="Calibri" w:hAnsi="Arial Narrow" w:cstheme="minorHAnsi"/>
          <w:color w:val="000000" w:themeColor="text1"/>
          <w:sz w:val="20"/>
          <w:szCs w:val="20"/>
          <w:lang w:val="da-DK"/>
        </w:rPr>
        <w:t xml:space="preserve"> pendant la </w:t>
      </w:r>
      <w:proofErr w:type="spellStart"/>
      <w:r w:rsidRPr="00123D98">
        <w:rPr>
          <w:rFonts w:ascii="Arial Narrow" w:eastAsia="Calibri" w:hAnsi="Arial Narrow" w:cstheme="minorHAnsi"/>
          <w:color w:val="000000" w:themeColor="text1"/>
          <w:sz w:val="20"/>
          <w:szCs w:val="20"/>
          <w:lang w:val="da-DK"/>
        </w:rPr>
        <w:t>période</w:t>
      </w:r>
      <w:proofErr w:type="spellEnd"/>
      <w:r w:rsidRPr="00123D98">
        <w:rPr>
          <w:rFonts w:ascii="Arial Narrow" w:eastAsia="Calibri" w:hAnsi="Arial Narrow" w:cstheme="minorHAnsi"/>
          <w:color w:val="000000" w:themeColor="text1"/>
          <w:sz w:val="20"/>
          <w:szCs w:val="20"/>
          <w:lang w:val="da-DK"/>
        </w:rPr>
        <w:t xml:space="preserve"> de </w:t>
      </w:r>
      <w:proofErr w:type="spellStart"/>
      <w:r w:rsidRPr="00123D98">
        <w:rPr>
          <w:rFonts w:ascii="Arial Narrow" w:eastAsia="Calibri" w:hAnsi="Arial Narrow" w:cstheme="minorHAnsi"/>
          <w:color w:val="000000" w:themeColor="text1"/>
          <w:sz w:val="20"/>
          <w:szCs w:val="20"/>
          <w:lang w:val="da-DK"/>
        </w:rPr>
        <w:t>campagne</w:t>
      </w:r>
      <w:proofErr w:type="spellEnd"/>
      <w:r w:rsidRPr="00123D98">
        <w:rPr>
          <w:rFonts w:ascii="Arial Narrow" w:eastAsia="Calibri" w:hAnsi="Arial Narrow" w:cstheme="minorHAnsi"/>
          <w:color w:val="000000" w:themeColor="text1"/>
          <w:sz w:val="20"/>
          <w:szCs w:val="20"/>
          <w:lang w:val="da-DK"/>
        </w:rPr>
        <w:t xml:space="preserve"> </w:t>
      </w:r>
      <w:proofErr w:type="spellStart"/>
      <w:r w:rsidRPr="00123D98">
        <w:rPr>
          <w:rFonts w:ascii="Arial Narrow" w:eastAsia="Calibri" w:hAnsi="Arial Narrow" w:cstheme="minorHAnsi"/>
          <w:color w:val="000000" w:themeColor="text1"/>
          <w:sz w:val="20"/>
          <w:szCs w:val="20"/>
          <w:lang w:val="da-DK"/>
        </w:rPr>
        <w:t>électorale</w:t>
      </w:r>
      <w:proofErr w:type="spellEnd"/>
      <w:r w:rsidRPr="00123D98">
        <w:rPr>
          <w:rFonts w:ascii="Arial Narrow" w:eastAsia="Calibri" w:hAnsi="Arial Narrow" w:cstheme="minorHAnsi"/>
          <w:color w:val="000000" w:themeColor="text1"/>
          <w:sz w:val="20"/>
          <w:szCs w:val="20"/>
          <w:lang w:val="da-DK"/>
        </w:rPr>
        <w:t>.</w:t>
      </w:r>
    </w:p>
    <w:p w14:paraId="4DA5D3D7" w14:textId="77777777" w:rsidR="00400357" w:rsidRPr="00123D98" w:rsidRDefault="00400357" w:rsidP="00400357">
      <w:pPr>
        <w:rPr>
          <w:rFonts w:eastAsia="Calibri"/>
          <w:lang w:val="da-DK"/>
        </w:rPr>
      </w:pPr>
    </w:p>
    <w:p w14:paraId="6DBCBBB7" w14:textId="310AA990" w:rsidR="00400357" w:rsidRPr="0015441F" w:rsidRDefault="00400357" w:rsidP="00400357">
      <w:pPr>
        <w:autoSpaceDE w:val="0"/>
        <w:autoSpaceDN w:val="0"/>
        <w:adjustRightInd w:val="0"/>
        <w:rPr>
          <w:rFonts w:ascii="Arial Narrow" w:hAnsi="Arial Narrow" w:cs="TimesNewRoman"/>
          <w:b/>
          <w:sz w:val="20"/>
          <w:lang w:val="fr-CA"/>
        </w:rPr>
      </w:pPr>
      <w:r w:rsidRPr="00EA792F">
        <w:rPr>
          <w:rFonts w:ascii="Arial Narrow" w:hAnsi="Arial Narrow" w:cs="TimesNewRoman"/>
          <w:sz w:val="20"/>
          <w:lang w:val="fr-CA"/>
        </w:rPr>
        <w:t>Cette politique</w:t>
      </w:r>
      <w:r>
        <w:rPr>
          <w:rFonts w:ascii="Arial Narrow" w:hAnsi="Arial Narrow" w:cs="TimesNewRoman"/>
          <w:sz w:val="20"/>
          <w:lang w:val="fr-CA"/>
        </w:rPr>
        <w:t xml:space="preserve"> s’applique aux</w:t>
      </w:r>
      <w:r w:rsidRPr="00EA792F">
        <w:rPr>
          <w:rFonts w:ascii="Arial Narrow" w:hAnsi="Arial Narrow" w:cs="TimesNewRoman"/>
          <w:sz w:val="20"/>
          <w:lang w:val="fr-CA"/>
        </w:rPr>
        <w:t xml:space="preserve"> membres du Conseil, </w:t>
      </w:r>
      <w:r>
        <w:rPr>
          <w:rFonts w:ascii="Arial Narrow" w:hAnsi="Arial Narrow" w:cs="TimesNewRoman"/>
          <w:sz w:val="20"/>
          <w:lang w:val="fr-CA"/>
        </w:rPr>
        <w:t>aux</w:t>
      </w:r>
      <w:r w:rsidRPr="00EA792F">
        <w:rPr>
          <w:rFonts w:ascii="Arial Narrow" w:hAnsi="Arial Narrow" w:cs="TimesNewRoman"/>
          <w:sz w:val="20"/>
          <w:lang w:val="fr-CA"/>
        </w:rPr>
        <w:t xml:space="preserve"> employés et</w:t>
      </w:r>
      <w:r>
        <w:rPr>
          <w:rFonts w:ascii="Arial Narrow" w:hAnsi="Arial Narrow" w:cs="TimesNewRoman"/>
          <w:sz w:val="20"/>
          <w:lang w:val="fr-CA"/>
        </w:rPr>
        <w:t xml:space="preserve"> aux</w:t>
      </w:r>
      <w:r w:rsidRPr="00EA792F">
        <w:rPr>
          <w:rFonts w:ascii="Arial Narrow" w:hAnsi="Arial Narrow" w:cs="TimesNewRoman"/>
          <w:sz w:val="20"/>
          <w:lang w:val="fr-CA"/>
        </w:rPr>
        <w:t xml:space="preserve"> bénévoles de la bibliothèque </w:t>
      </w:r>
      <w:r>
        <w:rPr>
          <w:rFonts w:ascii="Arial Narrow" w:hAnsi="Arial Narrow" w:cs="TimesNewRoman"/>
          <w:sz w:val="20"/>
          <w:lang w:val="fr-CA"/>
        </w:rPr>
        <w:t>lors de</w:t>
      </w:r>
      <w:r w:rsidRPr="00EA792F">
        <w:rPr>
          <w:rFonts w:ascii="Arial Narrow" w:hAnsi="Arial Narrow" w:cs="TimesNewRoman"/>
          <w:sz w:val="20"/>
          <w:lang w:val="fr-CA"/>
        </w:rPr>
        <w:t xml:space="preserve"> leurs relations avec les candidats et les partis politiques, et l’utilisation des ressources de la bibliothèque pendant les périodes de campagne pour les élections municipales, provinciales et fédérales.</w:t>
      </w:r>
      <w:r>
        <w:rPr>
          <w:rFonts w:ascii="Arial Narrow" w:hAnsi="Arial Narrow" w:cs="TimesNewRoman"/>
          <w:sz w:val="20"/>
          <w:vertAlign w:val="superscript"/>
          <w:lang w:val="fr-CA"/>
        </w:rPr>
        <w:t xml:space="preserve"> </w:t>
      </w:r>
    </w:p>
    <w:p w14:paraId="7C7A48CC" w14:textId="77777777" w:rsidR="00400357" w:rsidRDefault="00400357" w:rsidP="00400357">
      <w:pPr>
        <w:autoSpaceDE w:val="0"/>
        <w:autoSpaceDN w:val="0"/>
        <w:adjustRightInd w:val="0"/>
        <w:rPr>
          <w:rFonts w:ascii="Arial Narrow" w:hAnsi="Arial Narrow" w:cs="TimesNewRoman"/>
          <w:b/>
          <w:sz w:val="16"/>
          <w:szCs w:val="16"/>
          <w:lang w:val="fr-CA"/>
        </w:rPr>
      </w:pPr>
    </w:p>
    <w:p w14:paraId="7A47BAE8" w14:textId="77777777" w:rsidR="00400357" w:rsidRPr="0015441F" w:rsidRDefault="00400357" w:rsidP="00400357">
      <w:pPr>
        <w:autoSpaceDE w:val="0"/>
        <w:autoSpaceDN w:val="0"/>
        <w:adjustRightInd w:val="0"/>
        <w:rPr>
          <w:rFonts w:ascii="Arial Narrow" w:hAnsi="Arial Narrow" w:cs="TimesNewRoman"/>
          <w:b/>
          <w:sz w:val="16"/>
          <w:szCs w:val="16"/>
          <w:lang w:val="fr-CA"/>
        </w:rPr>
      </w:pPr>
    </w:p>
    <w:p w14:paraId="2CDA5FC7" w14:textId="77777777" w:rsidR="00400357" w:rsidRPr="00EA792F" w:rsidRDefault="00400357" w:rsidP="00400357">
      <w:pPr>
        <w:autoSpaceDE w:val="0"/>
        <w:autoSpaceDN w:val="0"/>
        <w:adjustRightInd w:val="0"/>
        <w:rPr>
          <w:rFonts w:ascii="Arial Narrow" w:hAnsi="Arial Narrow" w:cs="TimesNewRoman"/>
          <w:b/>
          <w:sz w:val="22"/>
          <w:szCs w:val="22"/>
          <w:lang w:val="fr-CA"/>
        </w:rPr>
      </w:pPr>
      <w:r w:rsidRPr="00EA792F">
        <w:rPr>
          <w:rFonts w:ascii="Arial Narrow" w:hAnsi="Arial Narrow" w:cs="TimesNewRoman"/>
          <w:b/>
          <w:sz w:val="22"/>
          <w:szCs w:val="22"/>
          <w:lang w:val="fr-CA"/>
        </w:rPr>
        <w:t xml:space="preserve">Section </w:t>
      </w:r>
      <w:r>
        <w:rPr>
          <w:rFonts w:ascii="Arial Narrow" w:hAnsi="Arial Narrow" w:cs="TimesNewRoman"/>
          <w:b/>
          <w:sz w:val="22"/>
          <w:szCs w:val="22"/>
          <w:lang w:val="fr-CA"/>
        </w:rPr>
        <w:t>2</w:t>
      </w:r>
      <w:r w:rsidRPr="00EA792F">
        <w:rPr>
          <w:rFonts w:ascii="Arial Narrow" w:hAnsi="Arial Narrow" w:cs="TimesNewRoman"/>
          <w:b/>
          <w:sz w:val="22"/>
          <w:szCs w:val="22"/>
          <w:lang w:val="fr-CA"/>
        </w:rPr>
        <w:t> : Financement des campagnes</w:t>
      </w:r>
    </w:p>
    <w:p w14:paraId="509914C2" w14:textId="77777777" w:rsidR="00400357" w:rsidRPr="00EA792F" w:rsidRDefault="00400357" w:rsidP="00400357">
      <w:pPr>
        <w:autoSpaceDE w:val="0"/>
        <w:autoSpaceDN w:val="0"/>
        <w:adjustRightInd w:val="0"/>
        <w:rPr>
          <w:rFonts w:ascii="Arial Narrow" w:hAnsi="Arial Narrow" w:cs="TimesNewRoman"/>
          <w:sz w:val="20"/>
          <w:lang w:val="fr-CA"/>
        </w:rPr>
      </w:pPr>
    </w:p>
    <w:p w14:paraId="1BBE2A8C" w14:textId="77777777" w:rsidR="00400357" w:rsidRPr="00EA792F" w:rsidRDefault="00400357" w:rsidP="00400357">
      <w:pPr>
        <w:numPr>
          <w:ilvl w:val="0"/>
          <w:numId w:val="18"/>
        </w:numPr>
        <w:tabs>
          <w:tab w:val="left" w:pos="360"/>
        </w:tabs>
        <w:autoSpaceDE w:val="0"/>
        <w:autoSpaceDN w:val="0"/>
        <w:adjustRightInd w:val="0"/>
        <w:ind w:left="360"/>
        <w:rPr>
          <w:rFonts w:ascii="Arial Narrow" w:hAnsi="Arial Narrow" w:cs="TimesNewRoman"/>
          <w:sz w:val="20"/>
          <w:lang w:val="fr-CA"/>
        </w:rPr>
      </w:pPr>
      <w:r w:rsidRPr="00EA792F">
        <w:rPr>
          <w:rFonts w:ascii="Arial Narrow" w:hAnsi="Arial Narrow" w:cs="TimesNewRoman"/>
          <w:sz w:val="20"/>
          <w:lang w:val="fr-CA"/>
        </w:rPr>
        <w:t xml:space="preserve">Conformément à l’article 70(4) de la </w:t>
      </w:r>
      <w:r w:rsidRPr="00EA792F">
        <w:rPr>
          <w:rFonts w:ascii="Arial Narrow" w:hAnsi="Arial Narrow" w:cs="TimesNewRoman"/>
          <w:i/>
          <w:sz w:val="20"/>
          <w:lang w:val="fr-CA"/>
        </w:rPr>
        <w:t>Loi</w:t>
      </w:r>
      <w:r w:rsidRPr="00EA792F">
        <w:rPr>
          <w:rFonts w:ascii="Arial Narrow" w:hAnsi="Arial Narrow" w:cs="TimesNewRoman"/>
          <w:sz w:val="20"/>
          <w:lang w:val="fr-CA"/>
        </w:rPr>
        <w:t xml:space="preserve"> </w:t>
      </w:r>
      <w:r w:rsidRPr="00EA792F">
        <w:rPr>
          <w:rFonts w:ascii="Arial Narrow" w:hAnsi="Arial Narrow" w:cs="TimesNewRoman"/>
          <w:i/>
          <w:sz w:val="20"/>
          <w:lang w:val="fr-CA"/>
        </w:rPr>
        <w:t>sur les élections municipales</w:t>
      </w:r>
      <w:r w:rsidRPr="00EA792F">
        <w:rPr>
          <w:rFonts w:ascii="Arial Narrow" w:hAnsi="Arial Narrow" w:cs="TimesNewRoman"/>
          <w:sz w:val="20"/>
          <w:lang w:val="fr-CA"/>
        </w:rPr>
        <w:t xml:space="preserve">, à l’article 16(1) de la </w:t>
      </w:r>
      <w:r w:rsidRPr="00EA792F">
        <w:rPr>
          <w:rFonts w:ascii="Arial Narrow" w:hAnsi="Arial Narrow" w:cs="TimesNewRoman"/>
          <w:i/>
          <w:sz w:val="20"/>
          <w:lang w:val="fr-CA"/>
        </w:rPr>
        <w:t>Loi sur le financement des campagnes électorales</w:t>
      </w:r>
      <w:r w:rsidRPr="00EA792F">
        <w:rPr>
          <w:rFonts w:ascii="Arial Narrow" w:hAnsi="Arial Narrow" w:cs="TimesNewRoman"/>
          <w:sz w:val="20"/>
          <w:lang w:val="fr-CA"/>
        </w:rPr>
        <w:t xml:space="preserve">, et à l’article 404(1) de la </w:t>
      </w:r>
      <w:r w:rsidRPr="00EA792F">
        <w:rPr>
          <w:rFonts w:ascii="Arial Narrow" w:hAnsi="Arial Narrow" w:cs="TimesNewRoman"/>
          <w:i/>
          <w:sz w:val="20"/>
          <w:lang w:val="fr-CA"/>
        </w:rPr>
        <w:t>Loi électorale du Canada</w:t>
      </w:r>
      <w:r w:rsidRPr="00EA792F">
        <w:rPr>
          <w:rFonts w:ascii="Arial Narrow" w:hAnsi="Arial Narrow" w:cs="TimesNewRoman"/>
          <w:sz w:val="20"/>
          <w:lang w:val="fr-CA"/>
        </w:rPr>
        <w:t xml:space="preserve">, le Conseil ne peut contribuer à la campagne de tout candidat ou parti politique par l’offre d’argent, de biens ou de services. </w:t>
      </w:r>
    </w:p>
    <w:p w14:paraId="69730F0E" w14:textId="77777777" w:rsidR="00400357" w:rsidRDefault="00400357" w:rsidP="00400357">
      <w:pPr>
        <w:autoSpaceDE w:val="0"/>
        <w:autoSpaceDN w:val="0"/>
        <w:adjustRightInd w:val="0"/>
        <w:rPr>
          <w:rFonts w:ascii="Arial Narrow" w:hAnsi="Arial Narrow" w:cs="TimesNewRoman"/>
          <w:sz w:val="20"/>
          <w:lang w:val="fr-CA"/>
        </w:rPr>
      </w:pPr>
    </w:p>
    <w:p w14:paraId="7E156FE3" w14:textId="77777777" w:rsidR="00400357" w:rsidRPr="00EA792F" w:rsidRDefault="00400357" w:rsidP="00400357">
      <w:pPr>
        <w:autoSpaceDE w:val="0"/>
        <w:autoSpaceDN w:val="0"/>
        <w:adjustRightInd w:val="0"/>
        <w:rPr>
          <w:rFonts w:ascii="Arial Narrow" w:hAnsi="Arial Narrow" w:cs="TimesNewRoman"/>
          <w:sz w:val="20"/>
          <w:lang w:val="fr-CA"/>
        </w:rPr>
      </w:pPr>
    </w:p>
    <w:p w14:paraId="17725592" w14:textId="77777777" w:rsidR="00400357" w:rsidRPr="00EA792F" w:rsidRDefault="00400357" w:rsidP="00400357">
      <w:pPr>
        <w:autoSpaceDE w:val="0"/>
        <w:autoSpaceDN w:val="0"/>
        <w:adjustRightInd w:val="0"/>
        <w:rPr>
          <w:rFonts w:ascii="Arial Narrow" w:hAnsi="Arial Narrow" w:cs="TimesNewRoman"/>
          <w:b/>
          <w:sz w:val="22"/>
          <w:szCs w:val="22"/>
          <w:lang w:val="fr-CA"/>
        </w:rPr>
      </w:pPr>
      <w:r w:rsidRPr="00EA792F">
        <w:rPr>
          <w:rFonts w:ascii="Arial Narrow" w:hAnsi="Arial Narrow" w:cs="TimesNewRoman"/>
          <w:b/>
          <w:sz w:val="22"/>
          <w:szCs w:val="22"/>
          <w:lang w:val="fr-CA"/>
        </w:rPr>
        <w:t xml:space="preserve">Section </w:t>
      </w:r>
      <w:r>
        <w:rPr>
          <w:rFonts w:ascii="Arial Narrow" w:hAnsi="Arial Narrow" w:cs="TimesNewRoman"/>
          <w:b/>
          <w:sz w:val="22"/>
          <w:szCs w:val="22"/>
          <w:lang w:val="fr-CA"/>
        </w:rPr>
        <w:t>3</w:t>
      </w:r>
      <w:r w:rsidRPr="00EA792F">
        <w:rPr>
          <w:rFonts w:ascii="Arial Narrow" w:hAnsi="Arial Narrow" w:cs="TimesNewRoman"/>
          <w:b/>
          <w:sz w:val="22"/>
          <w:szCs w:val="22"/>
          <w:lang w:val="fr-CA"/>
        </w:rPr>
        <w:t xml:space="preserve"> : Utilisation des ressources et des biens de la bibliothèque </w:t>
      </w:r>
    </w:p>
    <w:p w14:paraId="1849907E" w14:textId="77777777" w:rsidR="00400357" w:rsidRPr="00EA792F" w:rsidRDefault="00400357" w:rsidP="00400357">
      <w:pPr>
        <w:tabs>
          <w:tab w:val="left" w:pos="360"/>
        </w:tabs>
        <w:autoSpaceDE w:val="0"/>
        <w:autoSpaceDN w:val="0"/>
        <w:adjustRightInd w:val="0"/>
        <w:ind w:left="360" w:hanging="360"/>
        <w:rPr>
          <w:rFonts w:ascii="Arial Narrow" w:hAnsi="Arial Narrow" w:cs="TimesNewRoman"/>
          <w:sz w:val="20"/>
          <w:lang w:val="fr-CA"/>
        </w:rPr>
      </w:pPr>
    </w:p>
    <w:p w14:paraId="5938EC11" w14:textId="77777777" w:rsidR="00400357" w:rsidRPr="00EA792F" w:rsidRDefault="00400357" w:rsidP="00400357">
      <w:pPr>
        <w:numPr>
          <w:ilvl w:val="0"/>
          <w:numId w:val="19"/>
        </w:numPr>
        <w:tabs>
          <w:tab w:val="left" w:pos="360"/>
        </w:tabs>
        <w:autoSpaceDE w:val="0"/>
        <w:autoSpaceDN w:val="0"/>
        <w:adjustRightInd w:val="0"/>
        <w:ind w:left="360"/>
        <w:rPr>
          <w:rFonts w:ascii="Arial Narrow" w:hAnsi="Arial Narrow" w:cs="TimesNewRoman"/>
          <w:sz w:val="20"/>
          <w:lang w:val="fr-CA"/>
        </w:rPr>
      </w:pPr>
      <w:r w:rsidRPr="00EA792F">
        <w:rPr>
          <w:rFonts w:ascii="Arial Narrow" w:hAnsi="Arial Narrow" w:cs="TimesNewRoman"/>
          <w:sz w:val="20"/>
          <w:lang w:val="fr-CA"/>
        </w:rPr>
        <w:t xml:space="preserve">Tous les candidats et partis politiques ont un accès égal aux ressources et aux services </w:t>
      </w:r>
      <w:r>
        <w:rPr>
          <w:rFonts w:ascii="Arial Narrow" w:hAnsi="Arial Narrow" w:cs="TimesNewRoman"/>
          <w:sz w:val="20"/>
          <w:lang w:val="fr-CA"/>
        </w:rPr>
        <w:t xml:space="preserve">publics </w:t>
      </w:r>
      <w:r w:rsidRPr="00EA792F">
        <w:rPr>
          <w:rFonts w:ascii="Arial Narrow" w:hAnsi="Arial Narrow" w:cs="TimesNewRoman"/>
          <w:sz w:val="20"/>
          <w:lang w:val="fr-CA"/>
        </w:rPr>
        <w:t xml:space="preserve">de la bibliothèque. </w:t>
      </w:r>
    </w:p>
    <w:p w14:paraId="2744384E" w14:textId="77777777" w:rsidR="00400357" w:rsidRPr="0015441F" w:rsidRDefault="00400357" w:rsidP="00400357">
      <w:pPr>
        <w:tabs>
          <w:tab w:val="left" w:pos="360"/>
        </w:tabs>
        <w:autoSpaceDE w:val="0"/>
        <w:autoSpaceDN w:val="0"/>
        <w:adjustRightInd w:val="0"/>
        <w:rPr>
          <w:rFonts w:ascii="Arial Narrow" w:hAnsi="Arial Narrow" w:cs="TimesNewRoman"/>
          <w:sz w:val="16"/>
          <w:szCs w:val="16"/>
          <w:lang w:val="fr-CA"/>
        </w:rPr>
      </w:pPr>
    </w:p>
    <w:p w14:paraId="7F30C686" w14:textId="77777777" w:rsidR="00400357" w:rsidRPr="00EA792F" w:rsidRDefault="00400357" w:rsidP="00400357">
      <w:pPr>
        <w:numPr>
          <w:ilvl w:val="0"/>
          <w:numId w:val="19"/>
        </w:numPr>
        <w:tabs>
          <w:tab w:val="left" w:pos="360"/>
        </w:tabs>
        <w:autoSpaceDE w:val="0"/>
        <w:autoSpaceDN w:val="0"/>
        <w:adjustRightInd w:val="0"/>
        <w:ind w:left="360"/>
        <w:rPr>
          <w:rFonts w:ascii="Arial Narrow" w:hAnsi="Arial Narrow" w:cs="TimesNewRoman"/>
          <w:sz w:val="20"/>
          <w:lang w:val="fr-CA"/>
        </w:rPr>
      </w:pPr>
      <w:r w:rsidRPr="00EA792F">
        <w:rPr>
          <w:rFonts w:ascii="Arial Narrow" w:hAnsi="Arial Narrow" w:cs="TimesNewRoman"/>
          <w:sz w:val="20"/>
          <w:lang w:val="fr-CA"/>
        </w:rPr>
        <w:t xml:space="preserve">Les candidats ne sont pas autorisés à utiliser le matériel, les fournitures, le personnel ou toute autre ressource opérationnelle de la bibliothèque. Ils ne peuvent non plus utiliser le logo de la bibliothèque dans tout matériel de campagne. </w:t>
      </w:r>
    </w:p>
    <w:p w14:paraId="0D3CF9BF" w14:textId="77777777" w:rsidR="00400357" w:rsidRPr="0015441F" w:rsidRDefault="00400357" w:rsidP="00400357">
      <w:pPr>
        <w:tabs>
          <w:tab w:val="left" w:pos="360"/>
        </w:tabs>
        <w:autoSpaceDE w:val="0"/>
        <w:autoSpaceDN w:val="0"/>
        <w:adjustRightInd w:val="0"/>
        <w:ind w:left="360" w:hanging="360"/>
        <w:rPr>
          <w:rFonts w:ascii="Arial Narrow" w:hAnsi="Arial Narrow" w:cs="TimesNewRoman"/>
          <w:sz w:val="16"/>
          <w:szCs w:val="16"/>
          <w:lang w:val="fr-CA"/>
        </w:rPr>
      </w:pPr>
    </w:p>
    <w:p w14:paraId="7745B99F" w14:textId="0117C345" w:rsidR="00400357" w:rsidRPr="00EA792F" w:rsidRDefault="00400357" w:rsidP="00400357">
      <w:pPr>
        <w:numPr>
          <w:ilvl w:val="0"/>
          <w:numId w:val="19"/>
        </w:numPr>
        <w:tabs>
          <w:tab w:val="left" w:pos="360"/>
        </w:tabs>
        <w:autoSpaceDE w:val="0"/>
        <w:autoSpaceDN w:val="0"/>
        <w:adjustRightInd w:val="0"/>
        <w:ind w:left="360"/>
        <w:rPr>
          <w:rFonts w:ascii="Arial Narrow" w:hAnsi="Arial Narrow" w:cs="TimesNewRoman"/>
          <w:sz w:val="20"/>
          <w:lang w:val="fr-CA"/>
        </w:rPr>
      </w:pPr>
      <w:r w:rsidRPr="00EA792F">
        <w:rPr>
          <w:rFonts w:ascii="Arial Narrow" w:hAnsi="Arial Narrow" w:cs="TimesNewRoman"/>
          <w:sz w:val="20"/>
          <w:lang w:val="fr-CA"/>
        </w:rPr>
        <w:t xml:space="preserve">Les réunions générales des candidats peuvent avoir lieu à la bibliothèque, dans le cadre d’un programme de bibliothèque ou commandité par un autre groupe, à condition que tous les candidats soient invités à assister à ces réunions. Un candidat ne peut être présenté ou promu dans le cadre de tout autre programme ou événement régulier de la bibliothèque. </w:t>
      </w:r>
      <w:r>
        <w:rPr>
          <w:rFonts w:ascii="Arial Narrow" w:hAnsi="Arial Narrow" w:cs="TimesNewRoman"/>
          <w:sz w:val="20"/>
          <w:lang w:val="fr-CA"/>
        </w:rPr>
        <w:br/>
      </w:r>
    </w:p>
    <w:p w14:paraId="48EF1387" w14:textId="77777777" w:rsidR="00400357" w:rsidRPr="0015441F" w:rsidRDefault="00400357" w:rsidP="00400357">
      <w:pPr>
        <w:tabs>
          <w:tab w:val="left" w:pos="360"/>
        </w:tabs>
        <w:autoSpaceDE w:val="0"/>
        <w:autoSpaceDN w:val="0"/>
        <w:adjustRightInd w:val="0"/>
        <w:ind w:left="360" w:hanging="360"/>
        <w:rPr>
          <w:rFonts w:ascii="Arial Narrow" w:hAnsi="Arial Narrow" w:cs="TimesNewRoman"/>
          <w:sz w:val="16"/>
          <w:szCs w:val="16"/>
          <w:lang w:val="fr-CA"/>
        </w:rPr>
      </w:pPr>
    </w:p>
    <w:p w14:paraId="16CD0B2C" w14:textId="433670AD" w:rsidR="00400357" w:rsidRDefault="00400357" w:rsidP="00400357">
      <w:pPr>
        <w:numPr>
          <w:ilvl w:val="0"/>
          <w:numId w:val="19"/>
        </w:numPr>
        <w:tabs>
          <w:tab w:val="left" w:pos="360"/>
        </w:tabs>
        <w:autoSpaceDE w:val="0"/>
        <w:autoSpaceDN w:val="0"/>
        <w:adjustRightInd w:val="0"/>
        <w:ind w:left="360"/>
        <w:rPr>
          <w:rFonts w:ascii="Arial Narrow" w:hAnsi="Arial Narrow" w:cs="TimesNewRoman"/>
          <w:sz w:val="20"/>
          <w:lang w:val="fr-CA"/>
        </w:rPr>
      </w:pPr>
      <w:r w:rsidRPr="00EA792F">
        <w:rPr>
          <w:rFonts w:ascii="Arial Narrow" w:hAnsi="Arial Narrow" w:cs="TimesNewRoman"/>
          <w:sz w:val="20"/>
          <w:lang w:val="fr-CA"/>
        </w:rPr>
        <w:lastRenderedPageBreak/>
        <w:t xml:space="preserve">Les candidats et les partis politiques sont autorisés à distribuer du matériel de campagne </w:t>
      </w:r>
      <w:r>
        <w:rPr>
          <w:rFonts w:ascii="Arial Narrow" w:hAnsi="Arial Narrow" w:cs="TimesNewRoman"/>
          <w:sz w:val="20"/>
          <w:lang w:val="fr-CA"/>
        </w:rPr>
        <w:t>dans les droits de passage publics adjacents à</w:t>
      </w:r>
      <w:r w:rsidRPr="00EA792F">
        <w:rPr>
          <w:rFonts w:ascii="Arial Narrow" w:hAnsi="Arial Narrow" w:cs="TimesNewRoman"/>
          <w:sz w:val="20"/>
          <w:lang w:val="fr-CA"/>
        </w:rPr>
        <w:t xml:space="preserve"> la bibliothèque, à moins d’interdiction par un règlement municipal. </w:t>
      </w:r>
    </w:p>
    <w:p w14:paraId="410CA061" w14:textId="77777777" w:rsidR="00400357" w:rsidRPr="0015441F" w:rsidRDefault="00400357" w:rsidP="00400357">
      <w:pPr>
        <w:tabs>
          <w:tab w:val="left" w:pos="360"/>
        </w:tabs>
        <w:autoSpaceDE w:val="0"/>
        <w:autoSpaceDN w:val="0"/>
        <w:adjustRightInd w:val="0"/>
        <w:rPr>
          <w:rFonts w:ascii="Arial Narrow" w:hAnsi="Arial Narrow" w:cs="TimesNewRoman"/>
          <w:sz w:val="16"/>
          <w:szCs w:val="16"/>
          <w:lang w:val="fr-CA"/>
        </w:rPr>
      </w:pPr>
    </w:p>
    <w:p w14:paraId="1C717F7C" w14:textId="77777777" w:rsidR="00400357" w:rsidRDefault="00400357" w:rsidP="00400357">
      <w:pPr>
        <w:numPr>
          <w:ilvl w:val="0"/>
          <w:numId w:val="19"/>
        </w:numPr>
        <w:tabs>
          <w:tab w:val="left" w:pos="360"/>
          <w:tab w:val="left" w:pos="1134"/>
        </w:tabs>
        <w:autoSpaceDE w:val="0"/>
        <w:autoSpaceDN w:val="0"/>
        <w:adjustRightInd w:val="0"/>
        <w:ind w:left="360"/>
        <w:rPr>
          <w:rFonts w:ascii="Arial Narrow" w:hAnsi="Arial Narrow" w:cs="TimesNewRoman"/>
          <w:sz w:val="20"/>
          <w:lang w:val="fr-CA"/>
        </w:rPr>
      </w:pPr>
      <w:r w:rsidRPr="00BE6E5B">
        <w:rPr>
          <w:rFonts w:ascii="Arial Narrow" w:hAnsi="Arial Narrow" w:cs="TimesNewRoman"/>
          <w:sz w:val="20"/>
          <w:lang w:val="fr-CA"/>
        </w:rPr>
        <w:t xml:space="preserve">Conformément à l’article 81.1(1) de la </w:t>
      </w:r>
      <w:r w:rsidRPr="00BE6E5B">
        <w:rPr>
          <w:rFonts w:ascii="Arial Narrow" w:hAnsi="Arial Narrow" w:cs="TimesNewRoman"/>
          <w:i/>
          <w:sz w:val="20"/>
          <w:lang w:val="fr-CA"/>
        </w:rPr>
        <w:t>Loi électorale du Canada</w:t>
      </w:r>
      <w:r w:rsidRPr="00BE6E5B">
        <w:rPr>
          <w:rFonts w:ascii="Arial Narrow" w:hAnsi="Arial Narrow" w:cs="TimesNewRoman"/>
          <w:sz w:val="20"/>
          <w:lang w:val="fr-CA"/>
        </w:rPr>
        <w:t xml:space="preserve">, les candidats aux élections fédérales et leurs représentants sont autorisés à faire campagne dans les installations qui sont disponibles gratuitement au public. Durant les élections municipales et provinciales, les candidats bénéficient du même droit de faire campagne dans la bibliothèque. </w:t>
      </w:r>
    </w:p>
    <w:p w14:paraId="49346E25" w14:textId="77777777" w:rsidR="00400357" w:rsidRPr="0015441F" w:rsidRDefault="00400357" w:rsidP="00400357">
      <w:pPr>
        <w:pStyle w:val="ListParagraph"/>
        <w:tabs>
          <w:tab w:val="left" w:pos="360"/>
        </w:tabs>
        <w:ind w:left="360" w:hanging="360"/>
        <w:rPr>
          <w:rFonts w:ascii="Arial Narrow" w:hAnsi="Arial Narrow" w:cs="TimesNewRoman"/>
          <w:sz w:val="16"/>
          <w:szCs w:val="16"/>
          <w:lang w:val="fr-CA"/>
        </w:rPr>
      </w:pPr>
    </w:p>
    <w:p w14:paraId="7B7260D2" w14:textId="67A2AEDC" w:rsidR="00400357" w:rsidRDefault="00400357" w:rsidP="00400357">
      <w:pPr>
        <w:numPr>
          <w:ilvl w:val="0"/>
          <w:numId w:val="19"/>
        </w:numPr>
        <w:tabs>
          <w:tab w:val="left" w:pos="360"/>
        </w:tabs>
        <w:autoSpaceDE w:val="0"/>
        <w:autoSpaceDN w:val="0"/>
        <w:adjustRightInd w:val="0"/>
        <w:ind w:left="360"/>
        <w:rPr>
          <w:rFonts w:ascii="Arial Narrow" w:hAnsi="Arial Narrow" w:cs="TimesNewRoman"/>
          <w:sz w:val="20"/>
          <w:lang w:val="fr-CA"/>
        </w:rPr>
      </w:pPr>
      <w:r w:rsidRPr="006444BD">
        <w:rPr>
          <w:rFonts w:ascii="Arial Narrow" w:hAnsi="Arial Narrow" w:cs="TimesNewRoman"/>
          <w:sz w:val="20"/>
          <w:lang w:val="fr-CA"/>
        </w:rPr>
        <w:t xml:space="preserve">Conformément à la politique intitulée </w:t>
      </w:r>
      <w:r>
        <w:rPr>
          <w:rFonts w:ascii="Arial Narrow" w:hAnsi="Arial Narrow" w:cs="TimesNewRoman"/>
          <w:sz w:val="20"/>
          <w:lang w:val="fr-CA"/>
        </w:rPr>
        <w:t xml:space="preserve">: </w:t>
      </w:r>
      <w:r w:rsidRPr="006444BD">
        <w:rPr>
          <w:rFonts w:ascii="Arial Narrow" w:hAnsi="Arial Narrow" w:cs="TimesNewRoman"/>
          <w:i/>
          <w:sz w:val="20"/>
          <w:lang w:val="fr-CA"/>
        </w:rPr>
        <w:t>Information communautaire</w:t>
      </w:r>
      <w:r w:rsidRPr="006444BD">
        <w:rPr>
          <w:rFonts w:ascii="Arial Narrow" w:hAnsi="Arial Narrow" w:cs="TimesNewRoman"/>
          <w:sz w:val="20"/>
          <w:lang w:val="fr-CA"/>
        </w:rPr>
        <w:t xml:space="preserve"> OP-</w:t>
      </w:r>
      <w:r>
        <w:rPr>
          <w:rFonts w:ascii="Arial Narrow" w:hAnsi="Arial Narrow" w:cs="TimesNewRoman"/>
          <w:sz w:val="20"/>
          <w:lang w:val="fr-CA"/>
        </w:rPr>
        <w:t>12</w:t>
      </w:r>
      <w:r>
        <w:rPr>
          <w:rFonts w:ascii="Arial Narrow" w:hAnsi="Arial Narrow" w:cs="TimesNewRoman"/>
          <w:sz w:val="20"/>
          <w:lang w:val="fr-CA"/>
        </w:rPr>
        <w:t>,</w:t>
      </w:r>
      <w:r w:rsidRPr="006444BD">
        <w:rPr>
          <w:rFonts w:ascii="Arial Narrow" w:hAnsi="Arial Narrow" w:cs="TimesNewRoman"/>
          <w:sz w:val="20"/>
          <w:lang w:val="fr-CA"/>
        </w:rPr>
        <w:t xml:space="preserve"> de la Bibliothèque publique de </w:t>
      </w:r>
      <w:proofErr w:type="spellStart"/>
      <w:r>
        <w:rPr>
          <w:rFonts w:ascii="Arial Narrow" w:hAnsi="Arial Narrow" w:cs="TimesNewRoman"/>
          <w:sz w:val="20"/>
          <w:lang w:val="fr-CA"/>
        </w:rPr>
        <w:t>Casselman</w:t>
      </w:r>
      <w:proofErr w:type="spellEnd"/>
      <w:r w:rsidRPr="006444BD">
        <w:rPr>
          <w:rFonts w:ascii="Arial Narrow" w:hAnsi="Arial Narrow" w:cs="TimesNewRoman"/>
          <w:sz w:val="20"/>
          <w:lang w:val="fr-CA"/>
        </w:rPr>
        <w:t>, pendant une élection la bibliothèque autorisera les candidats à mettre à la disposition du public jusqu’à 25 exemplaires de leur brochure de campagne</w:t>
      </w:r>
      <w:r>
        <w:rPr>
          <w:rFonts w:ascii="Arial Narrow" w:hAnsi="Arial Narrow" w:cs="TimesNewRoman"/>
          <w:sz w:val="20"/>
          <w:lang w:val="fr-CA"/>
        </w:rPr>
        <w:t>. La bibliothèque</w:t>
      </w:r>
      <w:r w:rsidRPr="006444BD">
        <w:rPr>
          <w:rFonts w:ascii="Arial Narrow" w:hAnsi="Arial Narrow" w:cs="TimesNewRoman"/>
          <w:sz w:val="20"/>
          <w:lang w:val="fr-CA"/>
        </w:rPr>
        <w:t xml:space="preserve"> fournira de l’information générale sur les élections</w:t>
      </w:r>
      <w:r>
        <w:rPr>
          <w:rFonts w:ascii="Arial Narrow" w:hAnsi="Arial Narrow" w:cs="TimesNewRoman"/>
          <w:sz w:val="20"/>
          <w:lang w:val="fr-CA"/>
        </w:rPr>
        <w:t xml:space="preserve"> </w:t>
      </w:r>
      <w:r w:rsidRPr="00CA4F87">
        <w:rPr>
          <w:rFonts w:ascii="Arial Narrow" w:hAnsi="Arial Narrow" w:cs="TimesNewRoman"/>
          <w:sz w:val="20"/>
          <w:lang w:val="fr-CA"/>
        </w:rPr>
        <w:t>visant à sensibiliser les citoyens</w:t>
      </w:r>
      <w:r w:rsidRPr="006444BD">
        <w:rPr>
          <w:rFonts w:ascii="Arial Narrow" w:hAnsi="Arial Narrow" w:cs="TimesNewRoman"/>
          <w:sz w:val="20"/>
          <w:lang w:val="fr-CA"/>
        </w:rPr>
        <w:t>.</w:t>
      </w:r>
      <w:r w:rsidRPr="0015441F">
        <w:rPr>
          <w:rFonts w:ascii="Arial Narrow" w:hAnsi="Arial Narrow" w:cs="TimesNewRoman"/>
          <w:b/>
          <w:sz w:val="22"/>
          <w:szCs w:val="22"/>
          <w:lang w:val="fr-CA"/>
        </w:rPr>
        <w:t xml:space="preserve"> </w:t>
      </w:r>
    </w:p>
    <w:p w14:paraId="6DF96141" w14:textId="77777777" w:rsidR="00400357" w:rsidRPr="0015441F" w:rsidRDefault="00400357" w:rsidP="00400357">
      <w:pPr>
        <w:pStyle w:val="ListParagraph"/>
        <w:ind w:left="360" w:hanging="360"/>
        <w:rPr>
          <w:rFonts w:ascii="Arial Narrow" w:hAnsi="Arial Narrow" w:cs="TimesNewRoman"/>
          <w:sz w:val="16"/>
          <w:szCs w:val="16"/>
          <w:lang w:val="fr-CA"/>
        </w:rPr>
      </w:pPr>
    </w:p>
    <w:p w14:paraId="1314FC51" w14:textId="77777777" w:rsidR="00400357" w:rsidRPr="0015441F" w:rsidRDefault="00400357" w:rsidP="00400357">
      <w:pPr>
        <w:widowControl/>
        <w:numPr>
          <w:ilvl w:val="0"/>
          <w:numId w:val="19"/>
        </w:numPr>
        <w:tabs>
          <w:tab w:val="left" w:pos="360"/>
        </w:tabs>
        <w:autoSpaceDE w:val="0"/>
        <w:autoSpaceDN w:val="0"/>
        <w:adjustRightInd w:val="0"/>
        <w:ind w:left="360"/>
        <w:rPr>
          <w:rFonts w:ascii="Arial Narrow" w:hAnsi="Arial Narrow" w:cs="TimesNewRoman"/>
          <w:sz w:val="20"/>
          <w:lang w:val="fr-CA"/>
        </w:rPr>
      </w:pPr>
      <w:r w:rsidRPr="0015441F">
        <w:rPr>
          <w:rFonts w:ascii="Arial Narrow" w:hAnsi="Arial Narrow" w:cs="TimesNewRoman"/>
          <w:sz w:val="20"/>
          <w:lang w:val="fr-CA"/>
        </w:rPr>
        <w:t xml:space="preserve">Aucune pancarte ou affiche électorale propre à un candidat ou un parti politique ne pourra être placée sur les lieux de la bibliothèque (intérieurs ou extérieurs). </w:t>
      </w:r>
    </w:p>
    <w:p w14:paraId="27207316" w14:textId="671B0942" w:rsidR="00400357" w:rsidRDefault="00400357" w:rsidP="00400357">
      <w:pPr>
        <w:autoSpaceDE w:val="0"/>
        <w:autoSpaceDN w:val="0"/>
        <w:adjustRightInd w:val="0"/>
        <w:rPr>
          <w:rFonts w:ascii="Arial Narrow" w:hAnsi="Arial Narrow" w:cs="TimesNewRoman"/>
          <w:sz w:val="20"/>
          <w:lang w:val="fr-CA"/>
        </w:rPr>
      </w:pPr>
      <w:r>
        <w:rPr>
          <w:rFonts w:ascii="Arial Narrow" w:hAnsi="Arial Narrow" w:cs="TimesNewRoman"/>
          <w:sz w:val="20"/>
          <w:lang w:val="fr-CA"/>
        </w:rPr>
        <w:br/>
      </w:r>
    </w:p>
    <w:p w14:paraId="22EBEDA8" w14:textId="77777777" w:rsidR="00400357" w:rsidRPr="00EA792F" w:rsidRDefault="00400357" w:rsidP="00400357">
      <w:pPr>
        <w:autoSpaceDE w:val="0"/>
        <w:autoSpaceDN w:val="0"/>
        <w:adjustRightInd w:val="0"/>
        <w:rPr>
          <w:rFonts w:ascii="Arial Narrow" w:hAnsi="Arial Narrow" w:cs="TimesNewRoman"/>
          <w:sz w:val="20"/>
          <w:lang w:val="fr-CA"/>
        </w:rPr>
      </w:pPr>
    </w:p>
    <w:p w14:paraId="500917A1" w14:textId="77777777" w:rsidR="00400357" w:rsidRPr="00EA792F" w:rsidRDefault="00400357" w:rsidP="00400357">
      <w:pPr>
        <w:autoSpaceDE w:val="0"/>
        <w:autoSpaceDN w:val="0"/>
        <w:adjustRightInd w:val="0"/>
        <w:rPr>
          <w:rFonts w:ascii="Arial Narrow" w:hAnsi="Arial Narrow" w:cs="TimesNewRoman"/>
          <w:b/>
          <w:sz w:val="22"/>
          <w:szCs w:val="22"/>
          <w:lang w:val="fr-CA"/>
        </w:rPr>
      </w:pPr>
      <w:r w:rsidRPr="00EA792F">
        <w:rPr>
          <w:rFonts w:ascii="Arial Narrow" w:hAnsi="Arial Narrow" w:cs="TimesNewRoman"/>
          <w:b/>
          <w:sz w:val="22"/>
          <w:szCs w:val="22"/>
          <w:lang w:val="fr-CA"/>
        </w:rPr>
        <w:t xml:space="preserve">Section </w:t>
      </w:r>
      <w:r>
        <w:rPr>
          <w:rFonts w:ascii="Arial Narrow" w:hAnsi="Arial Narrow" w:cs="TimesNewRoman"/>
          <w:b/>
          <w:sz w:val="22"/>
          <w:szCs w:val="22"/>
          <w:lang w:val="fr-CA"/>
        </w:rPr>
        <w:t>4</w:t>
      </w:r>
      <w:r w:rsidRPr="00EA792F">
        <w:rPr>
          <w:rFonts w:ascii="Arial Narrow" w:hAnsi="Arial Narrow" w:cs="TimesNewRoman"/>
          <w:b/>
          <w:sz w:val="22"/>
          <w:szCs w:val="22"/>
          <w:lang w:val="fr-CA"/>
        </w:rPr>
        <w:t> : Participation des employés et des bénévoles aux campagnes électorales</w:t>
      </w:r>
    </w:p>
    <w:p w14:paraId="07DC4DEA" w14:textId="77777777" w:rsidR="00400357" w:rsidRPr="00EA792F" w:rsidRDefault="00400357" w:rsidP="00400357">
      <w:pPr>
        <w:autoSpaceDE w:val="0"/>
        <w:autoSpaceDN w:val="0"/>
        <w:adjustRightInd w:val="0"/>
        <w:ind w:left="360" w:hanging="360"/>
        <w:rPr>
          <w:rFonts w:ascii="Arial Narrow" w:hAnsi="Arial Narrow" w:cs="TimesNewRoman"/>
          <w:b/>
          <w:sz w:val="22"/>
          <w:szCs w:val="22"/>
          <w:lang w:val="fr-CA"/>
        </w:rPr>
      </w:pPr>
    </w:p>
    <w:p w14:paraId="29A5B5FE" w14:textId="6AFB06E9" w:rsidR="00400357" w:rsidRPr="0015441F" w:rsidRDefault="00400357" w:rsidP="00400357">
      <w:pPr>
        <w:numPr>
          <w:ilvl w:val="0"/>
          <w:numId w:val="21"/>
        </w:numPr>
        <w:tabs>
          <w:tab w:val="left" w:pos="360"/>
        </w:tabs>
        <w:autoSpaceDE w:val="0"/>
        <w:autoSpaceDN w:val="0"/>
        <w:adjustRightInd w:val="0"/>
        <w:ind w:left="360"/>
        <w:rPr>
          <w:rFonts w:ascii="Arial Narrow" w:hAnsi="Arial Narrow" w:cs="TimesNewRoman"/>
          <w:sz w:val="20"/>
          <w:lang w:val="fr-CA"/>
        </w:rPr>
      </w:pPr>
      <w:r w:rsidRPr="00EA792F">
        <w:rPr>
          <w:rFonts w:ascii="Arial Narrow" w:hAnsi="Arial Narrow" w:cs="TimesNewRoman"/>
          <w:sz w:val="20"/>
          <w:lang w:val="fr-CA"/>
        </w:rPr>
        <w:t xml:space="preserve">Tout employé de bibliothèque se présentant comme candidat aux élections municipales devra se conformer à l’article 30 de la </w:t>
      </w:r>
      <w:r w:rsidRPr="00EA792F">
        <w:rPr>
          <w:rFonts w:ascii="Arial Narrow" w:hAnsi="Arial Narrow" w:cs="TimesNewRoman"/>
          <w:i/>
          <w:sz w:val="20"/>
          <w:lang w:val="fr-CA"/>
        </w:rPr>
        <w:t>Loi sur les élections municipales</w:t>
      </w:r>
      <w:r w:rsidRPr="00EA792F">
        <w:rPr>
          <w:rFonts w:ascii="Arial Narrow" w:hAnsi="Arial Narrow" w:cs="TimesNewRoman"/>
          <w:sz w:val="20"/>
          <w:lang w:val="fr-CA"/>
        </w:rPr>
        <w:t>.</w:t>
      </w:r>
      <w:r>
        <w:rPr>
          <w:rFonts w:ascii="Arial Narrow" w:hAnsi="Arial Narrow" w:cs="TimesNewRoman"/>
          <w:sz w:val="20"/>
          <w:vertAlign w:val="superscript"/>
          <w:lang w:val="fr-CA"/>
        </w:rPr>
        <w:t xml:space="preserve"> </w:t>
      </w:r>
    </w:p>
    <w:p w14:paraId="55439CA6" w14:textId="77777777" w:rsidR="00400357" w:rsidRDefault="00400357" w:rsidP="00400357">
      <w:pPr>
        <w:tabs>
          <w:tab w:val="left" w:pos="360"/>
        </w:tabs>
        <w:autoSpaceDE w:val="0"/>
        <w:autoSpaceDN w:val="0"/>
        <w:adjustRightInd w:val="0"/>
        <w:ind w:left="360" w:hanging="360"/>
        <w:rPr>
          <w:rFonts w:ascii="Arial Narrow" w:hAnsi="Arial Narrow" w:cs="TimesNewRoman"/>
          <w:sz w:val="20"/>
          <w:lang w:val="fr-CA"/>
        </w:rPr>
      </w:pPr>
    </w:p>
    <w:p w14:paraId="1DDD822B" w14:textId="77777777" w:rsidR="00400357" w:rsidRPr="0015441F" w:rsidRDefault="00400357" w:rsidP="00400357">
      <w:pPr>
        <w:numPr>
          <w:ilvl w:val="0"/>
          <w:numId w:val="21"/>
        </w:numPr>
        <w:tabs>
          <w:tab w:val="left" w:pos="360"/>
        </w:tabs>
        <w:autoSpaceDE w:val="0"/>
        <w:autoSpaceDN w:val="0"/>
        <w:adjustRightInd w:val="0"/>
        <w:ind w:left="360"/>
        <w:rPr>
          <w:rFonts w:ascii="Arial Narrow" w:hAnsi="Arial Narrow" w:cs="TimesNewRoman"/>
          <w:sz w:val="20"/>
          <w:lang w:val="fr-CA"/>
        </w:rPr>
      </w:pPr>
      <w:r w:rsidRPr="0015441F">
        <w:rPr>
          <w:rFonts w:ascii="Arial Narrow" w:hAnsi="Arial Narrow" w:cs="TimesNewRoman"/>
          <w:sz w:val="20"/>
          <w:lang w:val="fr-CA"/>
        </w:rPr>
        <w:t>Tout employé ou bénévole de la bibliothèque qui est impliqué dans une campagne politique doit être politiquement neutre dans l’exercice de ses fonctions de bibliothèque et ne doit pas participer à des activités de campagne pendant ses heures de travail.</w:t>
      </w:r>
    </w:p>
    <w:p w14:paraId="55D77ABF" w14:textId="77777777" w:rsidR="00400357" w:rsidRDefault="00400357" w:rsidP="00400357">
      <w:pPr>
        <w:autoSpaceDE w:val="0"/>
        <w:autoSpaceDN w:val="0"/>
        <w:adjustRightInd w:val="0"/>
        <w:ind w:left="360" w:hanging="360"/>
        <w:rPr>
          <w:rFonts w:ascii="Arial Narrow" w:hAnsi="Arial Narrow" w:cs="TimesNewRoman"/>
          <w:sz w:val="20"/>
          <w:lang w:val="fr-CA"/>
        </w:rPr>
      </w:pPr>
    </w:p>
    <w:p w14:paraId="468CC408" w14:textId="3B450CC9" w:rsidR="00400357" w:rsidRPr="00EA792F" w:rsidRDefault="00400357" w:rsidP="00400357">
      <w:pPr>
        <w:autoSpaceDE w:val="0"/>
        <w:autoSpaceDN w:val="0"/>
        <w:adjustRightInd w:val="0"/>
        <w:ind w:left="360" w:hanging="360"/>
        <w:rPr>
          <w:rFonts w:ascii="Arial Narrow" w:hAnsi="Arial Narrow" w:cs="TimesNewRoman"/>
          <w:sz w:val="20"/>
          <w:lang w:val="fr-CA"/>
        </w:rPr>
      </w:pPr>
      <w:r>
        <w:rPr>
          <w:rFonts w:ascii="Arial Narrow" w:hAnsi="Arial Narrow" w:cs="TimesNewRoman"/>
          <w:sz w:val="20"/>
          <w:lang w:val="fr-CA"/>
        </w:rPr>
        <w:br/>
      </w:r>
    </w:p>
    <w:p w14:paraId="21494E29" w14:textId="77777777" w:rsidR="00400357" w:rsidRPr="00EA792F" w:rsidRDefault="00400357" w:rsidP="00400357">
      <w:pPr>
        <w:autoSpaceDE w:val="0"/>
        <w:autoSpaceDN w:val="0"/>
        <w:adjustRightInd w:val="0"/>
        <w:rPr>
          <w:rFonts w:ascii="Arial Narrow" w:hAnsi="Arial Narrow" w:cs="TimesNewRoman"/>
          <w:b/>
          <w:sz w:val="22"/>
          <w:szCs w:val="22"/>
          <w:lang w:val="fr-CA"/>
        </w:rPr>
      </w:pPr>
      <w:r w:rsidRPr="00EA792F">
        <w:rPr>
          <w:rFonts w:ascii="Arial Narrow" w:hAnsi="Arial Narrow" w:cs="TimesNewRoman"/>
          <w:b/>
          <w:sz w:val="22"/>
          <w:szCs w:val="22"/>
          <w:lang w:val="fr-CA"/>
        </w:rPr>
        <w:t xml:space="preserve">Section </w:t>
      </w:r>
      <w:r>
        <w:rPr>
          <w:rFonts w:ascii="Arial Narrow" w:hAnsi="Arial Narrow" w:cs="TimesNewRoman"/>
          <w:b/>
          <w:sz w:val="22"/>
          <w:szCs w:val="22"/>
          <w:lang w:val="fr-CA"/>
        </w:rPr>
        <w:t>5</w:t>
      </w:r>
      <w:r w:rsidRPr="00EA792F">
        <w:rPr>
          <w:rFonts w:ascii="Arial Narrow" w:hAnsi="Arial Narrow" w:cs="TimesNewRoman"/>
          <w:b/>
          <w:sz w:val="22"/>
          <w:szCs w:val="22"/>
          <w:lang w:val="fr-CA"/>
        </w:rPr>
        <w:t> : Membres du Conseil de la bibliothèque comme candidats</w:t>
      </w:r>
    </w:p>
    <w:p w14:paraId="144839EA" w14:textId="77777777" w:rsidR="00400357" w:rsidRPr="0015441F" w:rsidRDefault="00400357" w:rsidP="00400357">
      <w:pPr>
        <w:tabs>
          <w:tab w:val="left" w:pos="360"/>
        </w:tabs>
        <w:autoSpaceDE w:val="0"/>
        <w:autoSpaceDN w:val="0"/>
        <w:adjustRightInd w:val="0"/>
        <w:ind w:left="360" w:hanging="360"/>
        <w:rPr>
          <w:rFonts w:ascii="Arial Narrow" w:hAnsi="Arial Narrow" w:cs="TimesNewRoman"/>
          <w:b/>
          <w:sz w:val="20"/>
          <w:lang w:val="fr-CA"/>
        </w:rPr>
      </w:pPr>
    </w:p>
    <w:p w14:paraId="31E27045" w14:textId="77777777" w:rsidR="00400357" w:rsidRPr="0015441F" w:rsidRDefault="00400357" w:rsidP="00400357">
      <w:pPr>
        <w:numPr>
          <w:ilvl w:val="0"/>
          <w:numId w:val="17"/>
        </w:numPr>
        <w:tabs>
          <w:tab w:val="left" w:pos="360"/>
        </w:tabs>
        <w:autoSpaceDE w:val="0"/>
        <w:autoSpaceDN w:val="0"/>
        <w:adjustRightInd w:val="0"/>
        <w:ind w:left="360"/>
        <w:rPr>
          <w:rFonts w:ascii="Arial Narrow" w:hAnsi="Arial Narrow" w:cs="TimesNewRoman"/>
          <w:sz w:val="20"/>
          <w:lang w:val="fr-CA"/>
        </w:rPr>
      </w:pPr>
      <w:r w:rsidRPr="0015441F">
        <w:rPr>
          <w:rFonts w:ascii="Arial Narrow" w:hAnsi="Arial Narrow" w:cs="TimesNewRoman"/>
          <w:sz w:val="20"/>
          <w:lang w:val="fr-CA"/>
        </w:rPr>
        <w:t>Les membres du Conseil peuvent poursuivre leurs fonctions au sein du Conseil de la bibliothèque pendant qu’ils sont candidats à des élections.</w:t>
      </w:r>
    </w:p>
    <w:p w14:paraId="56F9CBA0" w14:textId="63084379" w:rsidR="00400357" w:rsidRDefault="00400357" w:rsidP="00400357">
      <w:pPr>
        <w:tabs>
          <w:tab w:val="left" w:pos="360"/>
        </w:tabs>
        <w:autoSpaceDE w:val="0"/>
        <w:autoSpaceDN w:val="0"/>
        <w:adjustRightInd w:val="0"/>
        <w:ind w:left="360" w:hanging="360"/>
        <w:rPr>
          <w:rFonts w:ascii="Arial Narrow" w:hAnsi="Arial Narrow" w:cs="TimesNewRoman"/>
          <w:sz w:val="20"/>
          <w:lang w:val="fr-CA"/>
        </w:rPr>
      </w:pPr>
      <w:r>
        <w:rPr>
          <w:rFonts w:ascii="Arial Narrow" w:hAnsi="Arial Narrow" w:cs="TimesNewRoman"/>
          <w:sz w:val="20"/>
          <w:lang w:val="fr-CA"/>
        </w:rPr>
        <w:br/>
      </w:r>
    </w:p>
    <w:p w14:paraId="48059AAE" w14:textId="77777777" w:rsidR="00400357" w:rsidRPr="0015441F" w:rsidRDefault="00400357" w:rsidP="00400357">
      <w:pPr>
        <w:tabs>
          <w:tab w:val="left" w:pos="360"/>
        </w:tabs>
        <w:autoSpaceDE w:val="0"/>
        <w:autoSpaceDN w:val="0"/>
        <w:adjustRightInd w:val="0"/>
        <w:ind w:left="360" w:hanging="360"/>
        <w:rPr>
          <w:rFonts w:ascii="Arial Narrow" w:hAnsi="Arial Narrow" w:cs="TimesNewRoman"/>
          <w:sz w:val="20"/>
          <w:lang w:val="fr-CA"/>
        </w:rPr>
      </w:pPr>
    </w:p>
    <w:p w14:paraId="1A0BF216" w14:textId="77777777" w:rsidR="00400357" w:rsidRPr="00EA792F" w:rsidRDefault="00400357" w:rsidP="00400357">
      <w:pPr>
        <w:autoSpaceDE w:val="0"/>
        <w:autoSpaceDN w:val="0"/>
        <w:adjustRightInd w:val="0"/>
        <w:rPr>
          <w:rFonts w:ascii="Arial Narrow" w:hAnsi="Arial Narrow" w:cs="TimesNewRoman"/>
          <w:b/>
          <w:sz w:val="22"/>
          <w:szCs w:val="22"/>
          <w:lang w:val="fr-CA"/>
        </w:rPr>
      </w:pPr>
      <w:r w:rsidRPr="00EA792F">
        <w:rPr>
          <w:rFonts w:ascii="Arial Narrow" w:hAnsi="Arial Narrow" w:cs="TimesNewRoman"/>
          <w:b/>
          <w:sz w:val="22"/>
          <w:szCs w:val="22"/>
          <w:lang w:val="fr-CA"/>
        </w:rPr>
        <w:t xml:space="preserve">Section </w:t>
      </w:r>
      <w:r>
        <w:rPr>
          <w:rFonts w:ascii="Arial Narrow" w:hAnsi="Arial Narrow" w:cs="TimesNewRoman"/>
          <w:b/>
          <w:sz w:val="22"/>
          <w:szCs w:val="22"/>
          <w:lang w:val="fr-CA"/>
        </w:rPr>
        <w:t>6</w:t>
      </w:r>
      <w:r w:rsidRPr="00EA792F">
        <w:rPr>
          <w:rFonts w:ascii="Arial Narrow" w:hAnsi="Arial Narrow" w:cs="TimesNewRoman"/>
          <w:b/>
          <w:sz w:val="22"/>
          <w:szCs w:val="22"/>
          <w:lang w:val="fr-CA"/>
        </w:rPr>
        <w:t> : Demandes de renseignements au sujet de la bibliothèque</w:t>
      </w:r>
    </w:p>
    <w:p w14:paraId="5752E68B" w14:textId="77777777" w:rsidR="00400357" w:rsidRPr="00EA792F" w:rsidRDefault="00400357" w:rsidP="00400357">
      <w:pPr>
        <w:tabs>
          <w:tab w:val="left" w:pos="360"/>
        </w:tabs>
        <w:autoSpaceDE w:val="0"/>
        <w:autoSpaceDN w:val="0"/>
        <w:adjustRightInd w:val="0"/>
        <w:ind w:left="360" w:hanging="360"/>
        <w:rPr>
          <w:rFonts w:ascii="Arial Narrow" w:hAnsi="Arial Narrow" w:cs="TimesNewRoman"/>
          <w:b/>
          <w:sz w:val="22"/>
          <w:szCs w:val="22"/>
          <w:lang w:val="fr-CA"/>
        </w:rPr>
      </w:pPr>
    </w:p>
    <w:p w14:paraId="22635750" w14:textId="4F116B99" w:rsidR="00400357" w:rsidRPr="00EA792F" w:rsidRDefault="00400357" w:rsidP="00400357">
      <w:pPr>
        <w:numPr>
          <w:ilvl w:val="0"/>
          <w:numId w:val="20"/>
        </w:numPr>
        <w:tabs>
          <w:tab w:val="left" w:pos="360"/>
        </w:tabs>
        <w:autoSpaceDE w:val="0"/>
        <w:autoSpaceDN w:val="0"/>
        <w:adjustRightInd w:val="0"/>
        <w:ind w:left="360"/>
        <w:rPr>
          <w:rFonts w:ascii="Arial Narrow" w:hAnsi="Arial Narrow" w:cs="TimesNewRoman"/>
          <w:sz w:val="20"/>
          <w:lang w:val="fr-CA"/>
        </w:rPr>
      </w:pPr>
      <w:r w:rsidRPr="00EA792F">
        <w:rPr>
          <w:rFonts w:ascii="Arial Narrow" w:hAnsi="Arial Narrow" w:cs="TimesNewRoman"/>
          <w:sz w:val="20"/>
          <w:lang w:val="fr-CA"/>
        </w:rPr>
        <w:t>Le directeur général de la bibliothèque coordonnera les demandes de renseignement</w:t>
      </w:r>
      <w:r>
        <w:rPr>
          <w:rFonts w:ascii="Arial Narrow" w:hAnsi="Arial Narrow" w:cs="TimesNewRoman"/>
          <w:sz w:val="20"/>
          <w:lang w:val="fr-CA"/>
        </w:rPr>
        <w:t>s</w:t>
      </w:r>
      <w:r w:rsidRPr="00EA792F">
        <w:rPr>
          <w:rFonts w:ascii="Arial Narrow" w:hAnsi="Arial Narrow" w:cs="TimesNewRoman"/>
          <w:sz w:val="20"/>
          <w:lang w:val="fr-CA"/>
        </w:rPr>
        <w:t xml:space="preserve"> reçues de la part des candidats ou des partis politiques</w:t>
      </w:r>
      <w:r>
        <w:rPr>
          <w:rFonts w:ascii="Arial Narrow" w:hAnsi="Arial Narrow" w:cs="TimesNewRoman"/>
          <w:sz w:val="20"/>
          <w:lang w:val="fr-CA"/>
        </w:rPr>
        <w:t xml:space="preserve">, </w:t>
      </w:r>
      <w:r w:rsidRPr="00EA792F">
        <w:rPr>
          <w:rFonts w:ascii="Arial Narrow" w:hAnsi="Arial Narrow" w:cs="TimesNewRoman"/>
          <w:sz w:val="20"/>
          <w:lang w:val="fr-CA"/>
        </w:rPr>
        <w:t xml:space="preserve">au sujet de la bibliothèque. </w:t>
      </w:r>
    </w:p>
    <w:p w14:paraId="5819525B" w14:textId="77777777" w:rsidR="00400357" w:rsidRPr="00EA792F" w:rsidRDefault="00400357" w:rsidP="00400357">
      <w:pPr>
        <w:tabs>
          <w:tab w:val="left" w:pos="360"/>
        </w:tabs>
        <w:autoSpaceDE w:val="0"/>
        <w:autoSpaceDN w:val="0"/>
        <w:adjustRightInd w:val="0"/>
        <w:ind w:left="360" w:hanging="360"/>
        <w:rPr>
          <w:rFonts w:ascii="Arial Narrow" w:hAnsi="Arial Narrow" w:cs="TimesNewRoman"/>
          <w:sz w:val="20"/>
          <w:lang w:val="fr-CA"/>
        </w:rPr>
      </w:pPr>
    </w:p>
    <w:p w14:paraId="5E795309" w14:textId="77777777" w:rsidR="00400357" w:rsidRPr="00EA792F" w:rsidRDefault="00400357" w:rsidP="00400357">
      <w:pPr>
        <w:numPr>
          <w:ilvl w:val="0"/>
          <w:numId w:val="20"/>
        </w:numPr>
        <w:tabs>
          <w:tab w:val="left" w:pos="360"/>
        </w:tabs>
        <w:autoSpaceDE w:val="0"/>
        <w:autoSpaceDN w:val="0"/>
        <w:adjustRightInd w:val="0"/>
        <w:ind w:left="360"/>
        <w:rPr>
          <w:rFonts w:ascii="Arial Narrow" w:hAnsi="Arial Narrow" w:cs="TimesNewRoman"/>
          <w:sz w:val="20"/>
          <w:lang w:val="fr-CA"/>
        </w:rPr>
      </w:pPr>
      <w:r w:rsidRPr="00EA792F">
        <w:rPr>
          <w:rFonts w:ascii="Arial Narrow" w:hAnsi="Arial Narrow" w:cs="TimesNewRoman"/>
          <w:sz w:val="20"/>
          <w:lang w:val="fr-CA"/>
        </w:rPr>
        <w:t>Les renseignements fournis par la bibliothèque à un candidat ou à un parti politique seront également fournis à tous les autres candidats et partis politiques sur demande pendant une campagne électorale.</w:t>
      </w:r>
    </w:p>
    <w:p w14:paraId="6F736246" w14:textId="77777777" w:rsidR="00400357" w:rsidRPr="00EA792F" w:rsidRDefault="00400357" w:rsidP="00400357">
      <w:pPr>
        <w:pStyle w:val="ListParagraph"/>
        <w:tabs>
          <w:tab w:val="left" w:pos="360"/>
        </w:tabs>
        <w:ind w:left="360" w:hanging="360"/>
        <w:rPr>
          <w:rFonts w:ascii="Arial Narrow" w:hAnsi="Arial Narrow" w:cs="TimesNewRoman"/>
          <w:sz w:val="20"/>
          <w:lang w:val="fr-CA"/>
        </w:rPr>
      </w:pPr>
    </w:p>
    <w:p w14:paraId="388E07BF" w14:textId="77777777" w:rsidR="00400357" w:rsidRPr="00EA792F" w:rsidRDefault="00400357" w:rsidP="00400357">
      <w:pPr>
        <w:numPr>
          <w:ilvl w:val="0"/>
          <w:numId w:val="20"/>
        </w:numPr>
        <w:tabs>
          <w:tab w:val="left" w:pos="360"/>
        </w:tabs>
        <w:autoSpaceDE w:val="0"/>
        <w:autoSpaceDN w:val="0"/>
        <w:adjustRightInd w:val="0"/>
        <w:ind w:left="360"/>
        <w:rPr>
          <w:rFonts w:ascii="Arial Narrow" w:hAnsi="Arial Narrow" w:cs="TimesNewRoman"/>
          <w:sz w:val="20"/>
          <w:lang w:val="fr-CA"/>
        </w:rPr>
      </w:pPr>
      <w:r w:rsidRPr="00EA792F">
        <w:rPr>
          <w:rFonts w:ascii="Arial Narrow" w:hAnsi="Arial Narrow" w:cs="TimesNewRoman"/>
          <w:sz w:val="20"/>
          <w:lang w:val="fr-CA"/>
        </w:rPr>
        <w:t xml:space="preserve">Tout candidat ou parti politique peut demander une réunion avec le directeur général de la bibliothèque ou une visite de la bibliothèque. </w:t>
      </w:r>
    </w:p>
    <w:p w14:paraId="3BCC0F04" w14:textId="675BAB08" w:rsidR="00400357" w:rsidRDefault="00400357" w:rsidP="00400357">
      <w:pPr>
        <w:tabs>
          <w:tab w:val="left" w:pos="360"/>
        </w:tabs>
        <w:autoSpaceDE w:val="0"/>
        <w:autoSpaceDN w:val="0"/>
        <w:adjustRightInd w:val="0"/>
        <w:ind w:left="360" w:hanging="360"/>
        <w:rPr>
          <w:rFonts w:ascii="Arial Narrow" w:hAnsi="Arial Narrow" w:cs="TimesNewRoman"/>
          <w:lang w:val="fr-CA"/>
        </w:rPr>
      </w:pPr>
    </w:p>
    <w:p w14:paraId="42BD46B8" w14:textId="724EE180" w:rsidR="00400357" w:rsidRDefault="00400357" w:rsidP="00400357">
      <w:pPr>
        <w:tabs>
          <w:tab w:val="left" w:pos="360"/>
        </w:tabs>
        <w:autoSpaceDE w:val="0"/>
        <w:autoSpaceDN w:val="0"/>
        <w:adjustRightInd w:val="0"/>
        <w:ind w:left="360" w:hanging="360"/>
        <w:rPr>
          <w:rFonts w:ascii="Arial Narrow" w:hAnsi="Arial Narrow" w:cs="TimesNewRoman"/>
          <w:lang w:val="fr-CA"/>
        </w:rPr>
      </w:pPr>
    </w:p>
    <w:p w14:paraId="572DD17A" w14:textId="13CA1768" w:rsidR="00400357" w:rsidRDefault="00400357" w:rsidP="00400357">
      <w:pPr>
        <w:tabs>
          <w:tab w:val="left" w:pos="360"/>
        </w:tabs>
        <w:autoSpaceDE w:val="0"/>
        <w:autoSpaceDN w:val="0"/>
        <w:adjustRightInd w:val="0"/>
        <w:ind w:left="360" w:hanging="360"/>
        <w:rPr>
          <w:rFonts w:ascii="Arial Narrow" w:hAnsi="Arial Narrow" w:cs="TimesNewRoman"/>
          <w:lang w:val="fr-CA"/>
        </w:rPr>
      </w:pPr>
    </w:p>
    <w:p w14:paraId="4AF09B57" w14:textId="0B84390B" w:rsidR="00400357" w:rsidRDefault="00400357" w:rsidP="00400357">
      <w:pPr>
        <w:tabs>
          <w:tab w:val="left" w:pos="360"/>
        </w:tabs>
        <w:autoSpaceDE w:val="0"/>
        <w:autoSpaceDN w:val="0"/>
        <w:adjustRightInd w:val="0"/>
        <w:ind w:left="360" w:hanging="360"/>
        <w:rPr>
          <w:rFonts w:ascii="Arial Narrow" w:hAnsi="Arial Narrow" w:cs="TimesNewRoman"/>
          <w:lang w:val="fr-CA"/>
        </w:rPr>
      </w:pPr>
    </w:p>
    <w:p w14:paraId="3A6D6050" w14:textId="77777777" w:rsidR="00400357" w:rsidRPr="00EA792F" w:rsidRDefault="00400357" w:rsidP="00400357">
      <w:pPr>
        <w:tabs>
          <w:tab w:val="left" w:pos="360"/>
        </w:tabs>
        <w:autoSpaceDE w:val="0"/>
        <w:autoSpaceDN w:val="0"/>
        <w:adjustRightInd w:val="0"/>
        <w:ind w:left="360" w:hanging="360"/>
        <w:rPr>
          <w:rFonts w:ascii="Arial Narrow" w:hAnsi="Arial Narrow" w:cs="TimesNewRoman"/>
          <w:lang w:val="fr-CA"/>
        </w:rPr>
      </w:pPr>
    </w:p>
    <w:p w14:paraId="1E68E41F" w14:textId="77777777" w:rsidR="00400357" w:rsidRPr="00EA792F" w:rsidRDefault="00400357" w:rsidP="00400357">
      <w:pPr>
        <w:tabs>
          <w:tab w:val="left" w:pos="360"/>
        </w:tabs>
        <w:autoSpaceDE w:val="0"/>
        <w:autoSpaceDN w:val="0"/>
        <w:adjustRightInd w:val="0"/>
        <w:ind w:left="360" w:hanging="360"/>
        <w:rPr>
          <w:rFonts w:ascii="Arial Narrow" w:hAnsi="Arial Narrow" w:cs="TimesNewRoman"/>
          <w:lang w:val="fr-CA"/>
        </w:rPr>
      </w:pPr>
    </w:p>
    <w:p w14:paraId="390440AB" w14:textId="769904D7" w:rsidR="00400357" w:rsidRPr="00EA792F" w:rsidRDefault="00400357" w:rsidP="00400357">
      <w:pPr>
        <w:autoSpaceDE w:val="0"/>
        <w:autoSpaceDN w:val="0"/>
        <w:adjustRightInd w:val="0"/>
        <w:rPr>
          <w:rFonts w:ascii="Arial Narrow" w:hAnsi="Arial Narrow" w:cs="TimesNewRoman"/>
          <w:b/>
          <w:sz w:val="20"/>
          <w:lang w:val="fr-CA"/>
        </w:rPr>
      </w:pPr>
      <w:r w:rsidRPr="00EA792F">
        <w:rPr>
          <w:rFonts w:ascii="Arial Narrow" w:hAnsi="Arial Narrow" w:cs="TimesNewRoman"/>
          <w:b/>
          <w:sz w:val="20"/>
          <w:lang w:val="fr-CA"/>
        </w:rPr>
        <w:t>Document connexe</w:t>
      </w:r>
      <w:r>
        <w:rPr>
          <w:rFonts w:ascii="Arial Narrow" w:hAnsi="Arial Narrow" w:cs="TimesNewRoman"/>
          <w:b/>
          <w:sz w:val="20"/>
          <w:lang w:val="fr-CA"/>
        </w:rPr>
        <w:br/>
      </w:r>
    </w:p>
    <w:p w14:paraId="56503D2F" w14:textId="4A6A7AF4" w:rsidR="00400357" w:rsidRPr="0015441F" w:rsidRDefault="00400357" w:rsidP="00400357">
      <w:pPr>
        <w:pStyle w:val="ListParagraph"/>
        <w:numPr>
          <w:ilvl w:val="0"/>
          <w:numId w:val="22"/>
        </w:numPr>
        <w:autoSpaceDE w:val="0"/>
        <w:autoSpaceDN w:val="0"/>
        <w:adjustRightInd w:val="0"/>
        <w:rPr>
          <w:rFonts w:ascii="Arial Narrow" w:hAnsi="Arial Narrow" w:cs="TimesNewRoman"/>
          <w:sz w:val="20"/>
          <w:lang w:val="fr-CA"/>
        </w:rPr>
      </w:pPr>
      <w:r w:rsidRPr="0015441F">
        <w:rPr>
          <w:rFonts w:ascii="Arial Narrow" w:hAnsi="Arial Narrow" w:cs="TimesNewRoman"/>
          <w:sz w:val="20"/>
          <w:lang w:val="fr-CA"/>
        </w:rPr>
        <w:t xml:space="preserve">Bibliothèque publique de </w:t>
      </w:r>
      <w:proofErr w:type="spellStart"/>
      <w:r>
        <w:rPr>
          <w:rFonts w:ascii="Arial Narrow" w:hAnsi="Arial Narrow" w:cs="TimesNewRoman"/>
          <w:sz w:val="20"/>
          <w:lang w:val="fr-CA"/>
        </w:rPr>
        <w:t>Casselman</w:t>
      </w:r>
      <w:proofErr w:type="spellEnd"/>
      <w:r w:rsidRPr="0015441F">
        <w:rPr>
          <w:rFonts w:ascii="Arial Narrow" w:hAnsi="Arial Narrow" w:cs="TimesNewRoman"/>
          <w:sz w:val="20"/>
          <w:lang w:val="fr-CA"/>
        </w:rPr>
        <w:t xml:space="preserve"> – Information communautaire – Politique OP-</w:t>
      </w:r>
      <w:r>
        <w:rPr>
          <w:rFonts w:ascii="Arial Narrow" w:hAnsi="Arial Narrow" w:cs="TimesNewRoman"/>
          <w:sz w:val="20"/>
          <w:lang w:val="fr-CA"/>
        </w:rPr>
        <w:t>12</w:t>
      </w:r>
    </w:p>
    <w:p w14:paraId="5F48194D" w14:textId="77777777" w:rsidR="00400357" w:rsidRDefault="00400357" w:rsidP="00400357">
      <w:pPr>
        <w:widowControl/>
        <w:rPr>
          <w:lang w:val="fr-CA"/>
        </w:rPr>
      </w:pPr>
      <w:r>
        <w:rPr>
          <w:lang w:val="fr-CA"/>
        </w:rPr>
        <w:br w:type="page"/>
      </w:r>
    </w:p>
    <w:p w14:paraId="6390A9C8" w14:textId="77777777" w:rsidR="00A358EB" w:rsidRPr="00A358EB" w:rsidRDefault="00A358EB" w:rsidP="00A358EB">
      <w:pPr>
        <w:tabs>
          <w:tab w:val="left" w:pos="450"/>
        </w:tabs>
        <w:rPr>
          <w:rFonts w:ascii="Arial Narrow" w:hAnsi="Arial Narrow" w:cs="Arial Narrow"/>
          <w:iCs/>
          <w:sz w:val="20"/>
          <w:lang w:val="fr-CA"/>
        </w:rPr>
      </w:pPr>
    </w:p>
    <w:sectPr w:rsidR="00A358EB" w:rsidRPr="00A358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imesNew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70B81"/>
    <w:multiLevelType w:val="hybridMultilevel"/>
    <w:tmpl w:val="F16A3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A7042"/>
    <w:multiLevelType w:val="hybridMultilevel"/>
    <w:tmpl w:val="2E70C4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C81C68"/>
    <w:multiLevelType w:val="hybridMultilevel"/>
    <w:tmpl w:val="39F6032E"/>
    <w:lvl w:ilvl="0" w:tplc="08085E18">
      <w:start w:val="1"/>
      <w:numFmt w:val="decimal"/>
      <w:lvlText w:val="%1."/>
      <w:lvlJc w:val="left"/>
      <w:pPr>
        <w:ind w:left="720" w:hanging="360"/>
      </w:pPr>
      <w:rPr>
        <w:rFonts w:ascii="Arial Narrow" w:hAnsi="Arial Narrow"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E3F1B"/>
    <w:multiLevelType w:val="multilevel"/>
    <w:tmpl w:val="5680F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B1325"/>
    <w:multiLevelType w:val="hybridMultilevel"/>
    <w:tmpl w:val="60F88672"/>
    <w:lvl w:ilvl="0" w:tplc="D8D63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11582D"/>
    <w:multiLevelType w:val="hybridMultilevel"/>
    <w:tmpl w:val="07082C26"/>
    <w:lvl w:ilvl="0" w:tplc="0C0C000F">
      <w:start w:val="1"/>
      <w:numFmt w:val="decimal"/>
      <w:lvlText w:val="%1."/>
      <w:lvlJc w:val="left"/>
      <w:pPr>
        <w:tabs>
          <w:tab w:val="num" w:pos="360"/>
        </w:tabs>
        <w:ind w:left="360" w:hanging="360"/>
      </w:pPr>
    </w:lvl>
    <w:lvl w:ilvl="1" w:tplc="000AF4C4">
      <w:start w:val="1"/>
      <w:numFmt w:val="lowerLetter"/>
      <w:lvlText w:val="%2)"/>
      <w:lvlJc w:val="left"/>
      <w:pPr>
        <w:tabs>
          <w:tab w:val="num" w:pos="1080"/>
        </w:tabs>
        <w:ind w:left="1080" w:hanging="360"/>
      </w:pPr>
      <w:rPr>
        <w:rFonts w:ascii="Arial Narrow" w:hAnsi="Arial Narrow" w:hint="default"/>
        <w:b w:val="0"/>
        <w:i w:val="0"/>
      </w:r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6" w15:restartNumberingAfterBreak="0">
    <w:nsid w:val="2E6C269A"/>
    <w:multiLevelType w:val="hybridMultilevel"/>
    <w:tmpl w:val="C6C4075E"/>
    <w:lvl w:ilvl="0" w:tplc="D8D63D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17573A"/>
    <w:multiLevelType w:val="hybridMultilevel"/>
    <w:tmpl w:val="2348E60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B214A"/>
    <w:multiLevelType w:val="hybridMultilevel"/>
    <w:tmpl w:val="63E8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B3671"/>
    <w:multiLevelType w:val="hybridMultilevel"/>
    <w:tmpl w:val="425E9FE0"/>
    <w:lvl w:ilvl="0" w:tplc="F97C8CA8">
      <w:start w:val="1"/>
      <w:numFmt w:val="decimal"/>
      <w:lvlText w:val="%1."/>
      <w:lvlJc w:val="left"/>
      <w:pPr>
        <w:tabs>
          <w:tab w:val="num" w:pos="1080"/>
        </w:tabs>
        <w:ind w:left="1080" w:hanging="360"/>
      </w:pPr>
      <w:rPr>
        <w:rFonts w:ascii="Arial Narrow" w:eastAsia="Times New Roman" w:hAnsi="Arial Narrow" w:cs="Times New Roman"/>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0" w15:restartNumberingAfterBreak="0">
    <w:nsid w:val="44F36D33"/>
    <w:multiLevelType w:val="hybridMultilevel"/>
    <w:tmpl w:val="1DD6FB20"/>
    <w:lvl w:ilvl="0" w:tplc="AD0660F2">
      <w:start w:val="1"/>
      <w:numFmt w:val="decimal"/>
      <w:lvlText w:val="%1."/>
      <w:lvlJc w:val="left"/>
      <w:pPr>
        <w:tabs>
          <w:tab w:val="num" w:pos="1856"/>
        </w:tabs>
        <w:ind w:left="1856" w:hanging="360"/>
      </w:pPr>
      <w:rPr>
        <w:rFonts w:ascii="Arial Narrow" w:hAnsi="Arial Narrow"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E8E7593"/>
    <w:multiLevelType w:val="hybridMultilevel"/>
    <w:tmpl w:val="C8D665D6"/>
    <w:lvl w:ilvl="0" w:tplc="04A20A70">
      <w:start w:val="3"/>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E928F9"/>
    <w:multiLevelType w:val="hybridMultilevel"/>
    <w:tmpl w:val="364C7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55622"/>
    <w:multiLevelType w:val="hybridMultilevel"/>
    <w:tmpl w:val="4D8EA3E6"/>
    <w:lvl w:ilvl="0" w:tplc="FA5EAD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74775"/>
    <w:multiLevelType w:val="hybridMultilevel"/>
    <w:tmpl w:val="3530FE8C"/>
    <w:lvl w:ilvl="0" w:tplc="AD0660F2">
      <w:start w:val="1"/>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9F7883"/>
    <w:multiLevelType w:val="hybridMultilevel"/>
    <w:tmpl w:val="F8A2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810FED"/>
    <w:multiLevelType w:val="hybridMultilevel"/>
    <w:tmpl w:val="579A110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22B4ABB"/>
    <w:multiLevelType w:val="hybridMultilevel"/>
    <w:tmpl w:val="4BA08F24"/>
    <w:lvl w:ilvl="0" w:tplc="5B787C18">
      <w:start w:val="1"/>
      <w:numFmt w:val="lowerLetter"/>
      <w:lvlText w:val="%1)"/>
      <w:lvlJc w:val="left"/>
      <w:pPr>
        <w:tabs>
          <w:tab w:val="num" w:pos="1136"/>
        </w:tabs>
        <w:ind w:left="1136" w:hanging="360"/>
      </w:pPr>
      <w:rPr>
        <w:rFonts w:ascii="Arial Narrow" w:hAnsi="Arial Narrow" w:hint="default"/>
        <w:b w:val="0"/>
        <w:i w:val="0"/>
        <w:color w:val="auto"/>
        <w:sz w:val="20"/>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24D74D6"/>
    <w:multiLevelType w:val="hybridMultilevel"/>
    <w:tmpl w:val="2D4418B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CE0826"/>
    <w:multiLevelType w:val="hybridMultilevel"/>
    <w:tmpl w:val="7EDE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0F2BA9"/>
    <w:multiLevelType w:val="hybridMultilevel"/>
    <w:tmpl w:val="BF4C3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27EAB"/>
    <w:multiLevelType w:val="hybridMultilevel"/>
    <w:tmpl w:val="63AAE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7"/>
  </w:num>
  <w:num w:numId="3">
    <w:abstractNumId w:val="11"/>
  </w:num>
  <w:num w:numId="4">
    <w:abstractNumId w:val="14"/>
  </w:num>
  <w:num w:numId="5">
    <w:abstractNumId w:val="10"/>
  </w:num>
  <w:num w:numId="6">
    <w:abstractNumId w:val="5"/>
  </w:num>
  <w:num w:numId="7">
    <w:abstractNumId w:val="2"/>
  </w:num>
  <w:num w:numId="8">
    <w:abstractNumId w:val="8"/>
  </w:num>
  <w:num w:numId="9">
    <w:abstractNumId w:val="20"/>
  </w:num>
  <w:num w:numId="10">
    <w:abstractNumId w:val="0"/>
  </w:num>
  <w:num w:numId="11">
    <w:abstractNumId w:val="3"/>
  </w:num>
  <w:num w:numId="12">
    <w:abstractNumId w:val="9"/>
  </w:num>
  <w:num w:numId="13">
    <w:abstractNumId w:val="12"/>
  </w:num>
  <w:num w:numId="14">
    <w:abstractNumId w:val="15"/>
  </w:num>
  <w:num w:numId="15">
    <w:abstractNumId w:val="7"/>
  </w:num>
  <w:num w:numId="16">
    <w:abstractNumId w:val="18"/>
  </w:num>
  <w:num w:numId="17">
    <w:abstractNumId w:val="21"/>
  </w:num>
  <w:num w:numId="18">
    <w:abstractNumId w:val="4"/>
  </w:num>
  <w:num w:numId="19">
    <w:abstractNumId w:val="6"/>
  </w:num>
  <w:num w:numId="20">
    <w:abstractNumId w:val="1"/>
  </w:num>
  <w:num w:numId="21">
    <w:abstractNumId w:val="13"/>
  </w:num>
  <w:num w:numId="2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C"/>
    <w:rsid w:val="00066E44"/>
    <w:rsid w:val="000729CD"/>
    <w:rsid w:val="00080872"/>
    <w:rsid w:val="000E4E24"/>
    <w:rsid w:val="00194AC4"/>
    <w:rsid w:val="001B0FAF"/>
    <w:rsid w:val="001C43FC"/>
    <w:rsid w:val="0021643F"/>
    <w:rsid w:val="00247FD5"/>
    <w:rsid w:val="002B60DC"/>
    <w:rsid w:val="002F1673"/>
    <w:rsid w:val="003354A3"/>
    <w:rsid w:val="00336B0D"/>
    <w:rsid w:val="00350507"/>
    <w:rsid w:val="00400357"/>
    <w:rsid w:val="00444225"/>
    <w:rsid w:val="00455DD8"/>
    <w:rsid w:val="0046762B"/>
    <w:rsid w:val="00541830"/>
    <w:rsid w:val="005946F0"/>
    <w:rsid w:val="005D1BF7"/>
    <w:rsid w:val="006459B3"/>
    <w:rsid w:val="00646648"/>
    <w:rsid w:val="0066695B"/>
    <w:rsid w:val="006A14AC"/>
    <w:rsid w:val="006B3920"/>
    <w:rsid w:val="006C5C87"/>
    <w:rsid w:val="008737AA"/>
    <w:rsid w:val="008F7587"/>
    <w:rsid w:val="008F7C7C"/>
    <w:rsid w:val="0093190D"/>
    <w:rsid w:val="0095499A"/>
    <w:rsid w:val="00993E3F"/>
    <w:rsid w:val="009C31AF"/>
    <w:rsid w:val="00A00FB8"/>
    <w:rsid w:val="00A358EB"/>
    <w:rsid w:val="00BD4569"/>
    <w:rsid w:val="00BF324C"/>
    <w:rsid w:val="00D023A4"/>
    <w:rsid w:val="00D14D64"/>
    <w:rsid w:val="00E105C2"/>
    <w:rsid w:val="00EA01BE"/>
    <w:rsid w:val="00F04893"/>
    <w:rsid w:val="00FD7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770"/>
  <w15:chartTrackingRefBased/>
  <w15:docId w15:val="{12F18226-845A-554F-8103-899B69C4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C"/>
    <w:pPr>
      <w:widowControl w:val="0"/>
    </w:pPr>
    <w:rPr>
      <w:rFonts w:ascii="Times New Roman" w:eastAsia="Times New Roman" w:hAnsi="Times New Roman" w:cs="Times New Roman"/>
      <w:snapToGrid w:val="0"/>
      <w:szCs w:val="20"/>
      <w:lang w:val="en-US"/>
    </w:rPr>
  </w:style>
  <w:style w:type="paragraph" w:styleId="Heading4">
    <w:name w:val="heading 4"/>
    <w:basedOn w:val="Normal"/>
    <w:next w:val="Normal"/>
    <w:link w:val="Heading4Char"/>
    <w:semiHidden/>
    <w:unhideWhenUsed/>
    <w:qFormat/>
    <w:rsid w:val="0066695B"/>
    <w:pPr>
      <w:keepNext/>
      <w:widowControl/>
      <w:spacing w:before="240" w:after="60"/>
      <w:outlineLvl w:val="3"/>
    </w:pPr>
    <w:rPr>
      <w:rFonts w:ascii="Calibri" w:hAnsi="Calibri"/>
      <w:b/>
      <w:bCs/>
      <w:snapToGrid/>
      <w:color w:val="33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7C7C"/>
    <w:pPr>
      <w:widowControl/>
      <w:spacing w:before="100" w:beforeAutospacing="1" w:after="100" w:afterAutospacing="1"/>
    </w:pPr>
    <w:rPr>
      <w:snapToGrid/>
      <w:sz w:val="20"/>
    </w:rPr>
  </w:style>
  <w:style w:type="paragraph" w:styleId="NoSpacing">
    <w:name w:val="No Spacing"/>
    <w:uiPriority w:val="1"/>
    <w:qFormat/>
    <w:rsid w:val="008F7C7C"/>
    <w:rPr>
      <w:rFonts w:ascii="Calibri" w:hAnsi="Calibri" w:cs="Times New Roman"/>
      <w:sz w:val="22"/>
      <w:szCs w:val="22"/>
      <w:lang w:val="fr-CA" w:eastAsia="fr-CA"/>
    </w:rPr>
  </w:style>
  <w:style w:type="character" w:styleId="SubtleEmphasis">
    <w:name w:val="Subtle Emphasis"/>
    <w:basedOn w:val="DefaultParagraphFont"/>
    <w:uiPriority w:val="19"/>
    <w:qFormat/>
    <w:rsid w:val="008F7C7C"/>
    <w:rPr>
      <w:i/>
      <w:iCs/>
      <w:color w:val="808080" w:themeColor="text1" w:themeTint="7F"/>
    </w:rPr>
  </w:style>
  <w:style w:type="paragraph" w:customStyle="1" w:styleId="paragraph">
    <w:name w:val="paragraph"/>
    <w:basedOn w:val="Normal"/>
    <w:uiPriority w:val="99"/>
    <w:rsid w:val="008F7C7C"/>
    <w:pPr>
      <w:widowControl/>
      <w:spacing w:before="100" w:beforeAutospacing="1" w:after="100" w:afterAutospacing="1"/>
    </w:pPr>
    <w:rPr>
      <w:snapToGrid/>
      <w:szCs w:val="24"/>
    </w:rPr>
  </w:style>
  <w:style w:type="character" w:styleId="Hyperlink">
    <w:name w:val="Hyperlink"/>
    <w:basedOn w:val="DefaultParagraphFont"/>
    <w:unhideWhenUsed/>
    <w:rsid w:val="006C5C87"/>
    <w:rPr>
      <w:color w:val="0563C1" w:themeColor="hyperlink"/>
      <w:u w:val="single"/>
    </w:rPr>
  </w:style>
  <w:style w:type="character" w:customStyle="1" w:styleId="Heading4Char">
    <w:name w:val="Heading 4 Char"/>
    <w:basedOn w:val="DefaultParagraphFont"/>
    <w:link w:val="Heading4"/>
    <w:semiHidden/>
    <w:rsid w:val="0066695B"/>
    <w:rPr>
      <w:rFonts w:ascii="Calibri" w:eastAsia="Times New Roman" w:hAnsi="Calibri" w:cs="Times New Roman"/>
      <w:b/>
      <w:bCs/>
      <w:color w:val="333333"/>
      <w:sz w:val="28"/>
      <w:szCs w:val="28"/>
      <w:lang w:val="en-US"/>
    </w:rPr>
  </w:style>
  <w:style w:type="paragraph" w:customStyle="1" w:styleId="section">
    <w:name w:val="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ubsection">
    <w:name w:val="sub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horttitle">
    <w:name w:val="shorttitle"/>
    <w:basedOn w:val="Normal"/>
    <w:uiPriority w:val="99"/>
    <w:semiHidden/>
    <w:rsid w:val="0066695B"/>
    <w:pPr>
      <w:widowControl/>
      <w:spacing w:before="100" w:beforeAutospacing="1" w:after="100" w:afterAutospacing="1"/>
    </w:pPr>
    <w:rPr>
      <w:rFonts w:eastAsia="Calibri"/>
      <w:snapToGrid/>
      <w:szCs w:val="24"/>
    </w:rPr>
  </w:style>
  <w:style w:type="paragraph" w:styleId="ListParagraph">
    <w:name w:val="List Paragraph"/>
    <w:basedOn w:val="Normal"/>
    <w:uiPriority w:val="34"/>
    <w:qFormat/>
    <w:rsid w:val="006459B3"/>
    <w:pPr>
      <w:ind w:left="720"/>
    </w:pPr>
  </w:style>
  <w:style w:type="character" w:styleId="Strong">
    <w:name w:val="Strong"/>
    <w:uiPriority w:val="22"/>
    <w:qFormat/>
    <w:rsid w:val="00A358EB"/>
    <w:rPr>
      <w:b/>
      <w:bCs/>
    </w:rPr>
  </w:style>
  <w:style w:type="paragraph" w:customStyle="1" w:styleId="Body">
    <w:name w:val="Body"/>
    <w:rsid w:val="00400357"/>
    <w:pPr>
      <w:pBdr>
        <w:top w:val="nil"/>
        <w:left w:val="nil"/>
        <w:bottom w:val="nil"/>
        <w:right w:val="nil"/>
        <w:between w:val="nil"/>
        <w:bar w:val="nil"/>
      </w:pBdr>
    </w:pPr>
    <w:rPr>
      <w:rFonts w:ascii="Arial" w:eastAsia="Arial Unicode MS" w:hAnsi="Arial" w:cs="Arial Unicode MS"/>
      <w:color w:val="000000"/>
      <w:sz w:val="22"/>
      <w:szCs w:val="22"/>
      <w:u w:color="000000"/>
      <w:bdr w:val="nil"/>
      <w:lang w:val="da-DK"/>
    </w:rPr>
  </w:style>
  <w:style w:type="paragraph" w:styleId="Quote">
    <w:name w:val="Quote"/>
    <w:basedOn w:val="Normal"/>
    <w:next w:val="Normal"/>
    <w:link w:val="QuoteChar"/>
    <w:qFormat/>
    <w:rsid w:val="00400357"/>
    <w:pPr>
      <w:widowControl/>
      <w:spacing w:before="200" w:after="160"/>
      <w:ind w:left="864" w:right="864"/>
      <w:jc w:val="center"/>
    </w:pPr>
    <w:rPr>
      <w:rFonts w:ascii="Arial" w:hAnsi="Arial" w:cs="Arial"/>
      <w:i/>
      <w:iCs/>
      <w:snapToGrid/>
      <w:color w:val="404040" w:themeColor="text1" w:themeTint="BF"/>
      <w:sz w:val="22"/>
      <w:szCs w:val="22"/>
    </w:rPr>
  </w:style>
  <w:style w:type="character" w:customStyle="1" w:styleId="QuoteChar">
    <w:name w:val="Quote Char"/>
    <w:basedOn w:val="DefaultParagraphFont"/>
    <w:link w:val="Quote"/>
    <w:rsid w:val="00400357"/>
    <w:rPr>
      <w:rFonts w:ascii="Arial" w:eastAsia="Times New Roman" w:hAnsi="Arial" w:cs="Arial"/>
      <w:i/>
      <w:iCs/>
      <w:color w:val="404040" w:themeColor="text1" w:themeTint="B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Desnoyers</dc:creator>
  <cp:keywords/>
  <dc:description/>
  <cp:lastModifiedBy>France Desnoyers</cp:lastModifiedBy>
  <cp:revision>2</cp:revision>
  <cp:lastPrinted>2021-04-16T14:39:00Z</cp:lastPrinted>
  <dcterms:created xsi:type="dcterms:W3CDTF">2021-04-16T14:47:00Z</dcterms:created>
  <dcterms:modified xsi:type="dcterms:W3CDTF">2021-04-16T14:47:00Z</dcterms:modified>
</cp:coreProperties>
</file>