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764, RUE BRÉBEUF, C .P.340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613-764-5505  Télécopieur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7D6763C3" w:rsidR="008F7C7C" w:rsidRPr="007C27EE" w:rsidRDefault="00813757" w:rsidP="00C51F94">
            <w:pPr>
              <w:rPr>
                <w:rFonts w:ascii="Arial Narrow" w:hAnsi="Arial Narrow"/>
                <w:b/>
                <w:color w:val="000000" w:themeColor="text1"/>
                <w:sz w:val="20"/>
                <w:lang w:val="fr-CA"/>
              </w:rPr>
            </w:pPr>
            <w:r>
              <w:rPr>
                <w:rFonts w:ascii="Arial Narrow" w:hAnsi="Arial Narrow"/>
                <w:b/>
                <w:color w:val="000000" w:themeColor="text1"/>
                <w:sz w:val="20"/>
                <w:lang w:val="fr-CA"/>
              </w:rPr>
              <w:t>Collecte de fonds</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53D89927" w:rsidR="008F7C7C" w:rsidRPr="008F7C7C" w:rsidRDefault="00813757" w:rsidP="00C51F94">
            <w:pPr>
              <w:rPr>
                <w:rFonts w:ascii="Arial Narrow" w:hAnsi="Arial Narrow"/>
                <w:b/>
                <w:color w:val="000000" w:themeColor="text1"/>
                <w:sz w:val="20"/>
                <w:lang w:val="fr-CA"/>
              </w:rPr>
            </w:pPr>
            <w:r>
              <w:rPr>
                <w:rFonts w:ascii="Arial Narrow" w:hAnsi="Arial Narrow"/>
                <w:b/>
                <w:color w:val="000000" w:themeColor="text1"/>
                <w:sz w:val="20"/>
                <w:lang w:val="fr-CA"/>
              </w:rPr>
              <w:t>CF-01</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41827227" w:rsidR="008F7C7C" w:rsidRPr="008D1D0D" w:rsidRDefault="00813757" w:rsidP="00C51F94">
            <w:pPr>
              <w:ind w:right="306"/>
              <w:rPr>
                <w:rFonts w:ascii="Arial Narrow" w:hAnsi="Arial Narrow" w:cs="Arial Narrow"/>
                <w:bCs/>
                <w:color w:val="000000" w:themeColor="text1"/>
                <w:sz w:val="20"/>
                <w:lang w:val="fr-CA"/>
              </w:rPr>
            </w:pPr>
            <w:r>
              <w:rPr>
                <w:rFonts w:ascii="Arial Narrow" w:hAnsi="Arial Narrow" w:cs="Arial Narrow"/>
                <w:bCs/>
                <w:color w:val="000000" w:themeColor="text1"/>
                <w:sz w:val="20"/>
                <w:lang w:val="fr-CA"/>
              </w:rPr>
              <w:t>Acceptation de dons</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813757"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813757"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612F99D3" w14:textId="77777777" w:rsidR="00813757" w:rsidRPr="001C2953" w:rsidRDefault="00813757" w:rsidP="00813757">
      <w:pPr>
        <w:rPr>
          <w:rFonts w:ascii="Arial Narrow" w:hAnsi="Arial Narrow"/>
          <w:sz w:val="20"/>
          <w:lang w:val="fr-FR"/>
        </w:rPr>
      </w:pPr>
    </w:p>
    <w:p w14:paraId="7A2D23F7" w14:textId="2610102C" w:rsidR="00813757" w:rsidRPr="001C2953" w:rsidRDefault="00813757" w:rsidP="00813757">
      <w:pPr>
        <w:rPr>
          <w:rFonts w:ascii="Arial Narrow" w:hAnsi="Arial Narrow"/>
          <w:sz w:val="20"/>
          <w:lang w:val="fr-FR"/>
        </w:rPr>
      </w:pPr>
      <w:r w:rsidRPr="001C2953">
        <w:rPr>
          <w:rFonts w:ascii="Arial Narrow" w:hAnsi="Arial Narrow"/>
          <w:sz w:val="20"/>
          <w:lang w:val="fr-FR"/>
        </w:rPr>
        <w:t xml:space="preserve">La Bibliothèque publique de </w:t>
      </w:r>
      <w:proofErr w:type="spellStart"/>
      <w:r>
        <w:rPr>
          <w:rFonts w:ascii="Arial Narrow" w:hAnsi="Arial Narrow"/>
          <w:sz w:val="20"/>
          <w:lang w:val="fr-FR"/>
        </w:rPr>
        <w:t>Casselman</w:t>
      </w:r>
      <w:proofErr w:type="spellEnd"/>
      <w:r w:rsidRPr="001C2953">
        <w:rPr>
          <w:rFonts w:ascii="Arial Narrow" w:hAnsi="Arial Narrow"/>
          <w:sz w:val="20"/>
          <w:lang w:val="fr-FR"/>
        </w:rPr>
        <w:t xml:space="preserve"> accepte et encourage les contributions des individus, groupes, fondations et entreprises dans le but d’améliorer et d’enrichir les programmes et services offerts à la collectivité.  Cette politique précise les exigences pour l’acceptation de dons conformément au statut d’organisme de bienfaisance de la bibliothèque.</w:t>
      </w:r>
    </w:p>
    <w:p w14:paraId="30C9C5A6" w14:textId="77777777" w:rsidR="00813757" w:rsidRPr="001C2953" w:rsidRDefault="00813757" w:rsidP="00813757">
      <w:pPr>
        <w:rPr>
          <w:rFonts w:ascii="Arial Narrow" w:hAnsi="Arial Narrow"/>
          <w:sz w:val="20"/>
          <w:lang w:val="fr-FR"/>
        </w:rPr>
      </w:pPr>
    </w:p>
    <w:p w14:paraId="47B04227" w14:textId="77777777" w:rsidR="00813757" w:rsidRPr="001C2953" w:rsidRDefault="00813757" w:rsidP="00813757">
      <w:pPr>
        <w:rPr>
          <w:rFonts w:ascii="Arial Narrow" w:hAnsi="Arial Narrow"/>
          <w:sz w:val="20"/>
          <w:lang w:val="fr-FR"/>
        </w:rPr>
      </w:pPr>
    </w:p>
    <w:p w14:paraId="4FE6ABA2" w14:textId="77777777" w:rsidR="00813757" w:rsidRPr="001C2953" w:rsidRDefault="00813757" w:rsidP="00813757">
      <w:pPr>
        <w:tabs>
          <w:tab w:val="left" w:pos="720"/>
          <w:tab w:val="left" w:pos="1800"/>
        </w:tabs>
        <w:rPr>
          <w:rFonts w:ascii="Arial Narrow" w:hAnsi="Arial Narrow"/>
          <w:b/>
          <w:sz w:val="22"/>
          <w:szCs w:val="22"/>
          <w:lang w:val="fr-FR"/>
        </w:rPr>
      </w:pPr>
      <w:r w:rsidRPr="001C2953">
        <w:rPr>
          <w:rFonts w:ascii="Arial Narrow" w:hAnsi="Arial Narrow"/>
          <w:b/>
          <w:sz w:val="22"/>
          <w:szCs w:val="22"/>
          <w:lang w:val="fr-FR"/>
        </w:rPr>
        <w:t xml:space="preserve">Article 1 : Éthique et définitions </w:t>
      </w:r>
    </w:p>
    <w:p w14:paraId="5F533B0B" w14:textId="77777777" w:rsidR="00813757" w:rsidRPr="001C2953" w:rsidRDefault="00813757" w:rsidP="00813757">
      <w:pPr>
        <w:tabs>
          <w:tab w:val="left" w:pos="720"/>
          <w:tab w:val="left" w:pos="1800"/>
        </w:tabs>
        <w:rPr>
          <w:rFonts w:ascii="Arial Narrow" w:hAnsi="Arial Narrow"/>
          <w:sz w:val="20"/>
          <w:lang w:val="fr-FR"/>
        </w:rPr>
      </w:pPr>
    </w:p>
    <w:p w14:paraId="170D02FE" w14:textId="20207112" w:rsidR="00813757" w:rsidRPr="001C2953" w:rsidRDefault="00813757" w:rsidP="00813757">
      <w:pPr>
        <w:widowControl/>
        <w:numPr>
          <w:ilvl w:val="0"/>
          <w:numId w:val="23"/>
        </w:numPr>
        <w:tabs>
          <w:tab w:val="left" w:pos="720"/>
          <w:tab w:val="left" w:pos="1800"/>
        </w:tabs>
        <w:ind w:left="720"/>
        <w:rPr>
          <w:rFonts w:ascii="Arial Narrow" w:hAnsi="Arial Narrow"/>
          <w:sz w:val="20"/>
          <w:lang w:val="fr-FR"/>
        </w:rPr>
      </w:pPr>
      <w:r w:rsidRPr="001C2953">
        <w:rPr>
          <w:rFonts w:ascii="Arial Narrow" w:hAnsi="Arial Narrow"/>
          <w:sz w:val="20"/>
          <w:lang w:val="fr-FR"/>
        </w:rPr>
        <w:t xml:space="preserve">La Bibliothèque publique de </w:t>
      </w:r>
      <w:proofErr w:type="spellStart"/>
      <w:r>
        <w:rPr>
          <w:rFonts w:ascii="Arial Narrow" w:hAnsi="Arial Narrow"/>
          <w:sz w:val="20"/>
          <w:lang w:val="fr-FR"/>
        </w:rPr>
        <w:t>Casselman</w:t>
      </w:r>
      <w:proofErr w:type="spellEnd"/>
      <w:r w:rsidRPr="001C2953">
        <w:rPr>
          <w:rFonts w:ascii="Arial Narrow" w:hAnsi="Arial Narrow"/>
          <w:sz w:val="20"/>
          <w:lang w:val="fr-FR"/>
        </w:rPr>
        <w:t xml:space="preserve"> s’est engagée à respecter les normes déontologiques les plus rigoureuses en matière de philanthropie, responsabilité financière et pratiques de développement définies dans la </w:t>
      </w:r>
      <w:r w:rsidRPr="001C2953">
        <w:rPr>
          <w:rFonts w:ascii="Arial Narrow" w:hAnsi="Arial Narrow"/>
          <w:i/>
          <w:sz w:val="20"/>
          <w:lang w:val="fr-FR"/>
        </w:rPr>
        <w:t>Charte des droits du donateur</w:t>
      </w:r>
      <w:r w:rsidRPr="001C2953">
        <w:rPr>
          <w:rFonts w:ascii="Arial Narrow" w:hAnsi="Arial Narrow"/>
          <w:sz w:val="20"/>
          <w:lang w:val="fr-FR"/>
        </w:rPr>
        <w:t xml:space="preserve"> (Annexe A)</w:t>
      </w:r>
      <w:r>
        <w:rPr>
          <w:rFonts w:ascii="Arial Narrow" w:hAnsi="Arial Narrow"/>
          <w:sz w:val="20"/>
          <w:lang w:val="fr-FR"/>
        </w:rPr>
        <w:t>.</w:t>
      </w:r>
    </w:p>
    <w:p w14:paraId="693896A0" w14:textId="77777777" w:rsidR="00813757" w:rsidRPr="001C2953" w:rsidRDefault="00813757" w:rsidP="00813757">
      <w:pPr>
        <w:tabs>
          <w:tab w:val="left" w:pos="720"/>
          <w:tab w:val="left" w:pos="1800"/>
        </w:tabs>
        <w:ind w:left="720" w:hanging="360"/>
        <w:rPr>
          <w:rFonts w:ascii="Arial Narrow" w:hAnsi="Arial Narrow"/>
          <w:sz w:val="20"/>
          <w:lang w:val="fr-FR"/>
        </w:rPr>
      </w:pPr>
    </w:p>
    <w:p w14:paraId="3AF7557C" w14:textId="77777777" w:rsidR="00813757" w:rsidRPr="001C2953" w:rsidRDefault="00813757" w:rsidP="00813757">
      <w:pPr>
        <w:widowControl/>
        <w:numPr>
          <w:ilvl w:val="0"/>
          <w:numId w:val="23"/>
        </w:numPr>
        <w:tabs>
          <w:tab w:val="left" w:pos="720"/>
          <w:tab w:val="left" w:pos="1800"/>
        </w:tabs>
        <w:ind w:left="720"/>
        <w:rPr>
          <w:rFonts w:ascii="Arial Narrow" w:hAnsi="Arial Narrow"/>
          <w:sz w:val="20"/>
          <w:lang w:val="fr-FR"/>
        </w:rPr>
      </w:pPr>
      <w:r w:rsidRPr="001C2953">
        <w:rPr>
          <w:rFonts w:ascii="Arial Narrow" w:hAnsi="Arial Narrow"/>
          <w:sz w:val="20"/>
          <w:lang w:val="fr-FR"/>
        </w:rPr>
        <w:t>L’Agence du revenu du Canada définit un don comme un transfert volontaire de biens à la bibliothèque sans que le donateur s’attende à des bénéfices.</w:t>
      </w:r>
    </w:p>
    <w:p w14:paraId="3D975C53" w14:textId="77777777" w:rsidR="00813757" w:rsidRPr="001C2953" w:rsidRDefault="00813757" w:rsidP="00813757">
      <w:pPr>
        <w:tabs>
          <w:tab w:val="left" w:pos="720"/>
          <w:tab w:val="left" w:pos="1800"/>
        </w:tabs>
        <w:rPr>
          <w:rFonts w:ascii="Arial Narrow" w:hAnsi="Arial Narrow"/>
          <w:sz w:val="20"/>
          <w:lang w:val="fr-FR"/>
        </w:rPr>
      </w:pPr>
    </w:p>
    <w:p w14:paraId="72BDB3AA" w14:textId="77777777" w:rsidR="00813757" w:rsidRPr="001C2953" w:rsidRDefault="00813757" w:rsidP="00813757">
      <w:pPr>
        <w:tabs>
          <w:tab w:val="left" w:pos="720"/>
          <w:tab w:val="left" w:pos="1800"/>
        </w:tabs>
        <w:rPr>
          <w:rFonts w:ascii="Arial Narrow" w:hAnsi="Arial Narrow"/>
          <w:sz w:val="20"/>
          <w:lang w:val="fr-FR"/>
        </w:rPr>
      </w:pPr>
    </w:p>
    <w:p w14:paraId="72A286F4" w14:textId="77777777" w:rsidR="00813757" w:rsidRPr="001C2953" w:rsidRDefault="00813757" w:rsidP="00813757">
      <w:pPr>
        <w:tabs>
          <w:tab w:val="left" w:pos="1800"/>
        </w:tabs>
        <w:rPr>
          <w:rFonts w:ascii="Arial Narrow" w:hAnsi="Arial Narrow"/>
          <w:b/>
          <w:sz w:val="22"/>
          <w:szCs w:val="22"/>
          <w:lang w:val="fr-FR"/>
        </w:rPr>
      </w:pPr>
      <w:r w:rsidRPr="001C2953">
        <w:rPr>
          <w:rFonts w:ascii="Arial Narrow" w:hAnsi="Arial Narrow"/>
          <w:b/>
          <w:sz w:val="22"/>
          <w:szCs w:val="22"/>
          <w:lang w:val="fr-FR"/>
        </w:rPr>
        <w:t xml:space="preserve">Article 2 : Types de dons </w:t>
      </w:r>
    </w:p>
    <w:p w14:paraId="602024C4" w14:textId="77777777" w:rsidR="00813757" w:rsidRPr="001C2953" w:rsidRDefault="00813757" w:rsidP="00813757">
      <w:pPr>
        <w:tabs>
          <w:tab w:val="left" w:pos="720"/>
          <w:tab w:val="left" w:pos="1800"/>
        </w:tabs>
        <w:rPr>
          <w:rFonts w:ascii="Arial Narrow" w:hAnsi="Arial Narrow"/>
          <w:sz w:val="20"/>
          <w:lang w:val="fr-FR"/>
        </w:rPr>
      </w:pPr>
    </w:p>
    <w:p w14:paraId="4C2F6338" w14:textId="77777777" w:rsidR="00813757" w:rsidRPr="001C2953" w:rsidRDefault="00813757" w:rsidP="00813757">
      <w:pPr>
        <w:widowControl/>
        <w:numPr>
          <w:ilvl w:val="0"/>
          <w:numId w:val="24"/>
        </w:numPr>
        <w:tabs>
          <w:tab w:val="left" w:pos="1080"/>
          <w:tab w:val="left" w:pos="1800"/>
        </w:tabs>
        <w:ind w:left="720"/>
        <w:rPr>
          <w:rFonts w:ascii="Arial Narrow" w:hAnsi="Arial Narrow"/>
          <w:sz w:val="20"/>
          <w:lang w:val="fr-FR"/>
        </w:rPr>
      </w:pPr>
      <w:r w:rsidRPr="001C2953">
        <w:rPr>
          <w:rFonts w:ascii="Arial Narrow" w:hAnsi="Arial Narrow"/>
          <w:sz w:val="20"/>
          <w:lang w:val="fr-FR"/>
        </w:rPr>
        <w:t>La bibliothèque accepte les types de contributions suivantes :</w:t>
      </w:r>
    </w:p>
    <w:p w14:paraId="50FE4A63" w14:textId="77777777" w:rsidR="00813757" w:rsidRPr="001C2953" w:rsidRDefault="00813757" w:rsidP="00813757">
      <w:pPr>
        <w:tabs>
          <w:tab w:val="left" w:pos="1800"/>
        </w:tabs>
        <w:ind w:left="720" w:hanging="360"/>
        <w:rPr>
          <w:rFonts w:ascii="Arial Narrow" w:hAnsi="Arial Narrow"/>
          <w:sz w:val="20"/>
          <w:lang w:val="fr-FR"/>
        </w:rPr>
      </w:pPr>
    </w:p>
    <w:p w14:paraId="46789926"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livres, manuscrits et autres documents imprimés;</w:t>
      </w:r>
    </w:p>
    <w:p w14:paraId="1B9810D6"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documents audiovisuels;</w:t>
      </w:r>
    </w:p>
    <w:p w14:paraId="33CAA6E7"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œuvres d’art et photographiques importantes pour les archives;</w:t>
      </w:r>
    </w:p>
    <w:p w14:paraId="0071B880"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document d’importance pour l’histoire locale et la généalogie;</w:t>
      </w:r>
    </w:p>
    <w:p w14:paraId="25BFAC0A"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équipement;</w:t>
      </w:r>
    </w:p>
    <w:p w14:paraId="4537D58C"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jouets;</w:t>
      </w:r>
    </w:p>
    <w:p w14:paraId="0A084001"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argent;</w:t>
      </w:r>
    </w:p>
    <w:p w14:paraId="798C23F3" w14:textId="31B3E569" w:rsidR="00813757" w:rsidRPr="001C2953" w:rsidRDefault="00813757" w:rsidP="00813757">
      <w:pPr>
        <w:widowControl/>
        <w:numPr>
          <w:ilvl w:val="0"/>
          <w:numId w:val="25"/>
        </w:numPr>
        <w:rPr>
          <w:rFonts w:ascii="Arial Narrow" w:hAnsi="Arial Narrow"/>
          <w:b/>
          <w:sz w:val="20"/>
          <w:lang w:val="fr-FR"/>
        </w:rPr>
      </w:pPr>
      <w:r w:rsidRPr="001C2953">
        <w:rPr>
          <w:rFonts w:ascii="Arial Narrow" w:hAnsi="Arial Narrow"/>
          <w:sz w:val="20"/>
          <w:lang w:val="fr-FR"/>
        </w:rPr>
        <w:t xml:space="preserve">autres dons en nature ou services; </w:t>
      </w:r>
    </w:p>
    <w:p w14:paraId="104C2D52"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bien de valeur significative, comme l’immobilier;</w:t>
      </w:r>
    </w:p>
    <w:p w14:paraId="557368FF" w14:textId="0AF6273B"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 xml:space="preserve">transferts de titres; </w:t>
      </w:r>
    </w:p>
    <w:p w14:paraId="478FE00B" w14:textId="77777777" w:rsidR="00813757" w:rsidRPr="001C2953" w:rsidRDefault="00813757" w:rsidP="00813757">
      <w:pPr>
        <w:widowControl/>
        <w:numPr>
          <w:ilvl w:val="0"/>
          <w:numId w:val="25"/>
        </w:numPr>
        <w:rPr>
          <w:rFonts w:ascii="Arial Narrow" w:hAnsi="Arial Narrow"/>
          <w:sz w:val="20"/>
          <w:lang w:val="fr-FR"/>
        </w:rPr>
      </w:pPr>
      <w:r w:rsidRPr="001C2953">
        <w:rPr>
          <w:rFonts w:ascii="Arial Narrow" w:hAnsi="Arial Narrow"/>
          <w:sz w:val="20"/>
          <w:lang w:val="fr-FR"/>
        </w:rPr>
        <w:t>dons planifiés tels que legs ou dons de polices d’assurance-vie.</w:t>
      </w:r>
    </w:p>
    <w:p w14:paraId="7592E4ED" w14:textId="77777777" w:rsidR="00813757" w:rsidRPr="001C2953" w:rsidRDefault="00813757" w:rsidP="00813757">
      <w:pPr>
        <w:rPr>
          <w:rFonts w:ascii="Arial Narrow" w:hAnsi="Arial Narrow" w:cs="Arial"/>
          <w:b/>
          <w:lang w:val="fr-FR"/>
        </w:rPr>
      </w:pPr>
      <w:r w:rsidRPr="001C2953">
        <w:rPr>
          <w:rFonts w:ascii="Arial Narrow" w:hAnsi="Arial Narrow" w:cs="Arial"/>
          <w:b/>
          <w:lang w:val="fr-FR"/>
        </w:rPr>
        <w:br w:type="page"/>
      </w:r>
    </w:p>
    <w:p w14:paraId="0EC56A9E" w14:textId="77777777" w:rsidR="00813757" w:rsidRPr="001C2953" w:rsidRDefault="00813757" w:rsidP="00813757">
      <w:pPr>
        <w:tabs>
          <w:tab w:val="left" w:pos="720"/>
          <w:tab w:val="left" w:pos="1080"/>
        </w:tabs>
        <w:rPr>
          <w:rFonts w:ascii="Arial Narrow" w:hAnsi="Arial Narrow"/>
          <w:sz w:val="22"/>
          <w:szCs w:val="22"/>
          <w:lang w:val="fr-FR"/>
        </w:rPr>
      </w:pPr>
    </w:p>
    <w:p w14:paraId="4697D84F" w14:textId="77777777" w:rsidR="00813757" w:rsidRPr="001C2953" w:rsidRDefault="00813757" w:rsidP="00813757">
      <w:pPr>
        <w:tabs>
          <w:tab w:val="left" w:pos="720"/>
          <w:tab w:val="left" w:pos="1080"/>
        </w:tabs>
        <w:rPr>
          <w:rFonts w:ascii="Arial Narrow" w:hAnsi="Arial Narrow"/>
          <w:b/>
          <w:sz w:val="22"/>
          <w:szCs w:val="22"/>
          <w:lang w:val="fr-FR"/>
        </w:rPr>
      </w:pPr>
      <w:r w:rsidRPr="001C2953">
        <w:rPr>
          <w:rFonts w:ascii="Arial Narrow" w:hAnsi="Arial Narrow"/>
          <w:b/>
          <w:sz w:val="22"/>
          <w:szCs w:val="22"/>
          <w:lang w:val="fr-FR"/>
        </w:rPr>
        <w:t>Article 3 : Acceptation de dons</w:t>
      </w:r>
    </w:p>
    <w:p w14:paraId="4A522F48" w14:textId="77777777" w:rsidR="00813757" w:rsidRPr="001C2953" w:rsidRDefault="00813757" w:rsidP="00813757">
      <w:pPr>
        <w:tabs>
          <w:tab w:val="left" w:pos="360"/>
          <w:tab w:val="left" w:pos="1800"/>
        </w:tabs>
        <w:ind w:left="360" w:hanging="360"/>
        <w:rPr>
          <w:rFonts w:ascii="Arial Narrow" w:hAnsi="Arial Narrow"/>
          <w:sz w:val="20"/>
          <w:lang w:val="fr-FR"/>
        </w:rPr>
      </w:pPr>
    </w:p>
    <w:p w14:paraId="4DECBC2A" w14:textId="77777777" w:rsidR="00813757" w:rsidRPr="001C2953" w:rsidRDefault="00813757" w:rsidP="00813757">
      <w:pPr>
        <w:pStyle w:val="ListParagraph"/>
        <w:widowControl/>
        <w:numPr>
          <w:ilvl w:val="0"/>
          <w:numId w:val="26"/>
        </w:numPr>
        <w:tabs>
          <w:tab w:val="left" w:pos="720"/>
        </w:tabs>
        <w:ind w:left="720"/>
        <w:contextualSpacing/>
        <w:rPr>
          <w:rFonts w:ascii="Arial Narrow" w:hAnsi="Arial Narrow"/>
          <w:sz w:val="20"/>
          <w:lang w:val="fr-FR"/>
        </w:rPr>
      </w:pPr>
      <w:r w:rsidRPr="001C2953">
        <w:rPr>
          <w:rFonts w:ascii="Arial Narrow" w:hAnsi="Arial Narrow"/>
          <w:sz w:val="20"/>
          <w:lang w:val="fr-FR"/>
        </w:rPr>
        <w:t xml:space="preserve">La bibliothèque évalue tous les dons et accepte seulement ceux qui selon elle, sont compatibles à la mission, aux valeurs et aux normes de la bibliothèque.  </w:t>
      </w:r>
    </w:p>
    <w:p w14:paraId="0DFB7D63" w14:textId="77777777" w:rsidR="00813757" w:rsidRPr="001C2953" w:rsidRDefault="00813757" w:rsidP="00813757">
      <w:pPr>
        <w:pStyle w:val="ListParagraph"/>
        <w:tabs>
          <w:tab w:val="left" w:pos="720"/>
        </w:tabs>
        <w:ind w:hanging="360"/>
        <w:rPr>
          <w:rFonts w:ascii="Arial Narrow" w:hAnsi="Arial Narrow"/>
          <w:sz w:val="20"/>
          <w:lang w:val="fr-FR"/>
        </w:rPr>
      </w:pPr>
    </w:p>
    <w:p w14:paraId="0406088C" w14:textId="77777777" w:rsidR="00813757" w:rsidRPr="001C2953" w:rsidRDefault="00813757" w:rsidP="00813757">
      <w:pPr>
        <w:pStyle w:val="ListParagraph"/>
        <w:widowControl/>
        <w:numPr>
          <w:ilvl w:val="0"/>
          <w:numId w:val="26"/>
        </w:numPr>
        <w:tabs>
          <w:tab w:val="left" w:pos="720"/>
        </w:tabs>
        <w:ind w:left="720"/>
        <w:contextualSpacing/>
        <w:rPr>
          <w:rFonts w:ascii="Arial Narrow" w:hAnsi="Arial Narrow"/>
          <w:sz w:val="20"/>
          <w:lang w:val="fr-FR"/>
        </w:rPr>
      </w:pPr>
      <w:r w:rsidRPr="001C2953">
        <w:rPr>
          <w:rFonts w:ascii="Arial Narrow" w:hAnsi="Arial Narrow"/>
          <w:sz w:val="20"/>
          <w:lang w:val="fr-FR"/>
        </w:rPr>
        <w:t>Les dons deviendront la propriété exclusive de la bibliothèque et doivent être clairs et non grevés au moment du don.  La bibliothèque peut accepter certaines conditions ayant trait à l’utilisation et/ou la disposition des dons seulement lorsqu’elle juge que les conditions proposées sont raisonnables et viables.</w:t>
      </w:r>
    </w:p>
    <w:p w14:paraId="7682A492" w14:textId="77777777" w:rsidR="00813757" w:rsidRPr="001C2953" w:rsidRDefault="00813757" w:rsidP="00813757">
      <w:pPr>
        <w:pStyle w:val="ListParagraph"/>
        <w:tabs>
          <w:tab w:val="left" w:pos="720"/>
        </w:tabs>
        <w:ind w:hanging="360"/>
        <w:rPr>
          <w:rFonts w:ascii="Arial Narrow" w:hAnsi="Arial Narrow"/>
          <w:sz w:val="20"/>
          <w:lang w:val="fr-FR"/>
        </w:rPr>
      </w:pPr>
    </w:p>
    <w:p w14:paraId="0CF05A58" w14:textId="77777777" w:rsidR="00813757" w:rsidRPr="001C2953" w:rsidRDefault="00813757" w:rsidP="00813757">
      <w:pPr>
        <w:pStyle w:val="ListParagraph"/>
        <w:widowControl/>
        <w:numPr>
          <w:ilvl w:val="0"/>
          <w:numId w:val="26"/>
        </w:numPr>
        <w:tabs>
          <w:tab w:val="left" w:pos="720"/>
        </w:tabs>
        <w:ind w:left="720"/>
        <w:contextualSpacing/>
        <w:rPr>
          <w:rFonts w:ascii="Arial Narrow" w:hAnsi="Arial Narrow"/>
          <w:sz w:val="20"/>
          <w:lang w:val="fr-FR"/>
        </w:rPr>
      </w:pPr>
      <w:r w:rsidRPr="001C2953">
        <w:rPr>
          <w:rFonts w:ascii="Arial Narrow" w:hAnsi="Arial Narrow"/>
          <w:sz w:val="20"/>
          <w:lang w:val="fr-FR"/>
        </w:rPr>
        <w:t xml:space="preserve">Tout en respectant les souhaits des donateurs, la bibliothèque se réserve le droit d’utiliser les dons dans l’intérêt véritable de la bibliothèque, et peut prendre des décisions au sujet de l’investissement, la disposition et l’élimination éventuelle de tous les dons.  </w:t>
      </w:r>
    </w:p>
    <w:p w14:paraId="7BC6AB9F" w14:textId="77777777" w:rsidR="00813757" w:rsidRPr="001C2953" w:rsidRDefault="00813757" w:rsidP="00813757">
      <w:pPr>
        <w:pStyle w:val="ListParagraph"/>
        <w:tabs>
          <w:tab w:val="left" w:pos="720"/>
        </w:tabs>
        <w:ind w:left="0"/>
        <w:rPr>
          <w:rFonts w:ascii="Arial Narrow" w:hAnsi="Arial Narrow"/>
          <w:sz w:val="20"/>
          <w:lang w:val="fr-FR"/>
        </w:rPr>
      </w:pPr>
    </w:p>
    <w:p w14:paraId="0FB2E1CF" w14:textId="77777777" w:rsidR="00813757" w:rsidRPr="001C2953" w:rsidRDefault="00813757" w:rsidP="00813757">
      <w:pPr>
        <w:pStyle w:val="ListParagraph"/>
        <w:tabs>
          <w:tab w:val="left" w:pos="720"/>
        </w:tabs>
        <w:ind w:left="0"/>
        <w:rPr>
          <w:rFonts w:ascii="Arial Narrow" w:hAnsi="Arial Narrow"/>
          <w:sz w:val="20"/>
          <w:lang w:val="fr-FR"/>
        </w:rPr>
      </w:pPr>
    </w:p>
    <w:p w14:paraId="5C8D7D2B" w14:textId="77777777" w:rsidR="00813757" w:rsidRPr="001C2953" w:rsidRDefault="00813757" w:rsidP="00813757">
      <w:pPr>
        <w:pStyle w:val="ListParagraph"/>
        <w:tabs>
          <w:tab w:val="left" w:pos="720"/>
        </w:tabs>
        <w:ind w:left="0"/>
        <w:rPr>
          <w:rFonts w:ascii="Arial Narrow" w:hAnsi="Arial Narrow"/>
          <w:sz w:val="20"/>
          <w:lang w:val="fr-FR"/>
        </w:rPr>
      </w:pPr>
    </w:p>
    <w:p w14:paraId="3B07B296" w14:textId="77777777" w:rsidR="00813757" w:rsidRPr="001C2953" w:rsidRDefault="00813757" w:rsidP="00813757">
      <w:pPr>
        <w:pStyle w:val="ListParagraph"/>
        <w:tabs>
          <w:tab w:val="left" w:pos="720"/>
        </w:tabs>
        <w:ind w:left="0"/>
        <w:rPr>
          <w:rFonts w:ascii="Arial Narrow" w:hAnsi="Arial Narrow"/>
          <w:sz w:val="20"/>
          <w:lang w:val="fr-FR"/>
        </w:rPr>
      </w:pPr>
    </w:p>
    <w:p w14:paraId="315B07C6" w14:textId="77777777" w:rsidR="00813757" w:rsidRPr="001C2953" w:rsidRDefault="00813757" w:rsidP="00813757">
      <w:pPr>
        <w:tabs>
          <w:tab w:val="left" w:pos="720"/>
        </w:tabs>
        <w:rPr>
          <w:rFonts w:ascii="Arial Narrow" w:hAnsi="Arial Narrow"/>
          <w:b/>
          <w:sz w:val="22"/>
          <w:szCs w:val="22"/>
          <w:lang w:val="fr-FR"/>
        </w:rPr>
      </w:pPr>
      <w:r w:rsidRPr="001C2953">
        <w:rPr>
          <w:rFonts w:ascii="Arial Narrow" w:hAnsi="Arial Narrow"/>
          <w:b/>
          <w:sz w:val="22"/>
          <w:szCs w:val="22"/>
          <w:lang w:val="fr-FR"/>
        </w:rPr>
        <w:t>Documents connexes :</w:t>
      </w:r>
    </w:p>
    <w:p w14:paraId="0C460442" w14:textId="204BB743" w:rsidR="00813757" w:rsidRPr="001C2953" w:rsidRDefault="00813757" w:rsidP="00813757">
      <w:pPr>
        <w:tabs>
          <w:tab w:val="left" w:pos="1080"/>
        </w:tabs>
        <w:rPr>
          <w:rFonts w:ascii="Arial Narrow" w:hAnsi="Arial Narrow"/>
          <w:sz w:val="20"/>
          <w:lang w:val="fr-FR"/>
        </w:rPr>
      </w:pPr>
      <w:r w:rsidRPr="001C2953">
        <w:rPr>
          <w:rFonts w:ascii="Arial Narrow" w:hAnsi="Arial Narrow"/>
          <w:sz w:val="20"/>
          <w:lang w:val="fr-FR"/>
        </w:rPr>
        <w:t xml:space="preserve">Bibliothèque publique de </w:t>
      </w:r>
      <w:proofErr w:type="spellStart"/>
      <w:r>
        <w:rPr>
          <w:rFonts w:ascii="Arial Narrow" w:hAnsi="Arial Narrow"/>
          <w:sz w:val="20"/>
          <w:lang w:val="fr-FR"/>
        </w:rPr>
        <w:t>Casselman</w:t>
      </w:r>
      <w:proofErr w:type="spellEnd"/>
      <w:r w:rsidRPr="001C2953">
        <w:rPr>
          <w:rFonts w:ascii="Arial Narrow" w:hAnsi="Arial Narrow"/>
          <w:sz w:val="20"/>
          <w:lang w:val="fr-FR"/>
        </w:rPr>
        <w:t xml:space="preserve"> OP-0</w:t>
      </w:r>
      <w:r w:rsidR="00AC4E01">
        <w:rPr>
          <w:rFonts w:ascii="Arial Narrow" w:hAnsi="Arial Narrow"/>
          <w:sz w:val="20"/>
          <w:lang w:val="fr-FR"/>
        </w:rPr>
        <w:t>8</w:t>
      </w:r>
      <w:r w:rsidRPr="001C2953">
        <w:rPr>
          <w:rFonts w:ascii="Arial Narrow" w:hAnsi="Arial Narrow"/>
          <w:sz w:val="20"/>
          <w:lang w:val="fr-FR"/>
        </w:rPr>
        <w:t xml:space="preserve">  </w:t>
      </w:r>
      <w:r w:rsidRPr="001C2953">
        <w:rPr>
          <w:rFonts w:ascii="Arial Narrow" w:hAnsi="Arial Narrow"/>
          <w:i/>
          <w:sz w:val="20"/>
          <w:lang w:val="fr-FR"/>
        </w:rPr>
        <w:t>Politique sur le développement de la collection</w:t>
      </w:r>
      <w:r w:rsidRPr="001C2953">
        <w:rPr>
          <w:rFonts w:ascii="Arial Narrow" w:hAnsi="Arial Narrow"/>
          <w:sz w:val="20"/>
          <w:lang w:val="fr-FR"/>
        </w:rPr>
        <w:t xml:space="preserve"> </w:t>
      </w:r>
      <w:r w:rsidRPr="001C2953">
        <w:rPr>
          <w:rFonts w:ascii="Arial Narrow" w:hAnsi="Arial Narrow"/>
          <w:sz w:val="20"/>
          <w:lang w:val="fr-FR"/>
        </w:rPr>
        <w:br/>
      </w:r>
      <w:r w:rsidRPr="001C2953">
        <w:rPr>
          <w:rFonts w:ascii="Arial Narrow" w:hAnsi="Arial Narrow"/>
          <w:sz w:val="20"/>
          <w:lang w:val="fr-FR"/>
        </w:rPr>
        <w:br/>
      </w:r>
    </w:p>
    <w:p w14:paraId="751E1CD5" w14:textId="77777777" w:rsidR="00813757" w:rsidRPr="001C2953" w:rsidRDefault="00813757" w:rsidP="00813757">
      <w:pPr>
        <w:pBdr>
          <w:bottom w:val="single" w:sz="6" w:space="1" w:color="auto"/>
        </w:pBdr>
        <w:tabs>
          <w:tab w:val="left" w:pos="1080"/>
        </w:tabs>
        <w:rPr>
          <w:rFonts w:ascii="Arial Narrow" w:hAnsi="Arial Narrow"/>
          <w:sz w:val="20"/>
          <w:lang w:val="fr-FR"/>
        </w:rPr>
      </w:pPr>
    </w:p>
    <w:p w14:paraId="1F4514D0" w14:textId="77777777" w:rsidR="00813757" w:rsidRPr="001C2953" w:rsidRDefault="00813757" w:rsidP="00813757">
      <w:pPr>
        <w:tabs>
          <w:tab w:val="left" w:pos="1080"/>
        </w:tabs>
        <w:rPr>
          <w:rFonts w:ascii="Arial Narrow" w:hAnsi="Arial Narrow"/>
          <w:sz w:val="20"/>
          <w:lang w:val="fr-FR"/>
        </w:rPr>
      </w:pPr>
    </w:p>
    <w:p w14:paraId="383C25BD" w14:textId="77777777" w:rsidR="00813757" w:rsidRPr="001C2953" w:rsidRDefault="00813757" w:rsidP="00813757">
      <w:pPr>
        <w:tabs>
          <w:tab w:val="left" w:pos="1080"/>
        </w:tabs>
        <w:rPr>
          <w:rFonts w:ascii="Arial Narrow" w:hAnsi="Arial Narrow"/>
          <w:b/>
          <w:lang w:val="fr-FR"/>
        </w:rPr>
      </w:pPr>
    </w:p>
    <w:p w14:paraId="768083A5" w14:textId="69BFBDAA" w:rsidR="00813757" w:rsidRPr="001C2953" w:rsidRDefault="00813757" w:rsidP="00813757">
      <w:pPr>
        <w:tabs>
          <w:tab w:val="left" w:pos="1080"/>
        </w:tabs>
        <w:rPr>
          <w:rFonts w:ascii="Arial Narrow" w:hAnsi="Arial Narrow"/>
          <w:b/>
          <w:lang w:val="fr-FR"/>
        </w:rPr>
      </w:pPr>
      <w:r w:rsidRPr="001C2953">
        <w:rPr>
          <w:rFonts w:ascii="Arial Narrow" w:hAnsi="Arial Narrow"/>
          <w:b/>
          <w:lang w:val="fr-FR"/>
        </w:rPr>
        <w:t>A</w:t>
      </w:r>
      <w:r w:rsidR="00AC4E01">
        <w:rPr>
          <w:rFonts w:ascii="Arial Narrow" w:hAnsi="Arial Narrow"/>
          <w:b/>
          <w:lang w:val="fr-FR"/>
        </w:rPr>
        <w:t>nnexe</w:t>
      </w:r>
      <w:r w:rsidRPr="001C2953">
        <w:rPr>
          <w:rFonts w:ascii="Arial Narrow" w:hAnsi="Arial Narrow"/>
          <w:b/>
          <w:lang w:val="fr-FR"/>
        </w:rPr>
        <w:t xml:space="preserve"> A: </w:t>
      </w:r>
      <w:r w:rsidRPr="001C2953">
        <w:rPr>
          <w:rFonts w:ascii="Arial Narrow" w:hAnsi="Arial Narrow"/>
          <w:b/>
          <w:i/>
          <w:lang w:val="fr-FR"/>
        </w:rPr>
        <w:t>Charte des droits du donateur</w:t>
      </w:r>
    </w:p>
    <w:p w14:paraId="3B4755CA" w14:textId="77777777" w:rsidR="00813757" w:rsidRPr="001C2953" w:rsidRDefault="00813757" w:rsidP="00813757">
      <w:pPr>
        <w:tabs>
          <w:tab w:val="left" w:pos="1080"/>
        </w:tabs>
        <w:rPr>
          <w:rFonts w:ascii="Arial Narrow" w:hAnsi="Arial Narrow"/>
          <w:b/>
          <w:lang w:val="fr-FR"/>
        </w:rPr>
      </w:pPr>
    </w:p>
    <w:p w14:paraId="3AB3022C" w14:textId="77777777" w:rsidR="00813757" w:rsidRPr="001C2953" w:rsidRDefault="00813757" w:rsidP="00813757">
      <w:pPr>
        <w:tabs>
          <w:tab w:val="left" w:pos="1080"/>
        </w:tabs>
        <w:rPr>
          <w:rFonts w:ascii="Arial Narrow" w:hAnsi="Arial Narrow"/>
          <w:sz w:val="20"/>
          <w:lang w:val="fr-FR"/>
        </w:rPr>
      </w:pPr>
    </w:p>
    <w:p w14:paraId="00671905" w14:textId="77777777" w:rsidR="00813757" w:rsidRPr="001C2953" w:rsidRDefault="00813757" w:rsidP="00813757">
      <w:pPr>
        <w:shd w:val="clear" w:color="auto" w:fill="FFFFFF"/>
        <w:rPr>
          <w:rFonts w:ascii="Arial Narrow" w:hAnsi="Arial Narrow"/>
          <w:b/>
          <w:sz w:val="20"/>
          <w:lang w:val="fr-FR"/>
        </w:rPr>
      </w:pPr>
      <w:r w:rsidRPr="001C2953">
        <w:rPr>
          <w:rFonts w:ascii="Arial Narrow" w:hAnsi="Arial Narrow"/>
          <w:b/>
          <w:sz w:val="20"/>
          <w:lang w:val="fr-FR"/>
        </w:rPr>
        <w:t>Charte des droits du donateur</w:t>
      </w:r>
    </w:p>
    <w:p w14:paraId="0E378FCA" w14:textId="77777777" w:rsidR="00813757" w:rsidRPr="001C2953" w:rsidRDefault="00813757" w:rsidP="00813757">
      <w:pPr>
        <w:shd w:val="clear" w:color="auto" w:fill="FFFFFF"/>
        <w:rPr>
          <w:rFonts w:ascii="Arial Narrow" w:hAnsi="Arial Narrow" w:cs="Arial"/>
          <w:color w:val="000000" w:themeColor="text1"/>
          <w:spacing w:val="5"/>
          <w:sz w:val="20"/>
          <w:lang w:val="fr-FR"/>
        </w:rPr>
      </w:pPr>
    </w:p>
    <w:p w14:paraId="0493E9FE" w14:textId="77777777" w:rsidR="00813757" w:rsidRPr="001C2953" w:rsidRDefault="00813757" w:rsidP="00813757">
      <w:pPr>
        <w:shd w:val="clear" w:color="auto" w:fill="FFFFFF"/>
        <w:rPr>
          <w:rFonts w:ascii="Arial Narrow" w:hAnsi="Arial Narrow" w:cs="Arial"/>
          <w:spacing w:val="5"/>
          <w:sz w:val="20"/>
          <w:lang w:val="fr-FR"/>
        </w:rPr>
      </w:pPr>
      <w:r w:rsidRPr="001C2953">
        <w:rPr>
          <w:rFonts w:ascii="Arial Narrow" w:hAnsi="Arial Narrow"/>
          <w:sz w:val="20"/>
          <w:lang w:val="fr-FR"/>
        </w:rPr>
        <w:t>Afin d’assurer que la philanthropie se mérite et conserve le respect et la confiance du public et que les donateurs actuels et futurs puissent avoir une confiance totale dans la bibliothèque, nous déclarons que tout donateur a les droits suivants :</w:t>
      </w:r>
    </w:p>
    <w:p w14:paraId="39845A32" w14:textId="13C23AFE" w:rsidR="00813757" w:rsidRPr="001C2953" w:rsidRDefault="00813757" w:rsidP="00813757">
      <w:pPr>
        <w:pStyle w:val="ListParagraph"/>
        <w:widowControl/>
        <w:numPr>
          <w:ilvl w:val="0"/>
          <w:numId w:val="27"/>
        </w:numPr>
        <w:shd w:val="clear" w:color="auto" w:fill="FFFFFF"/>
        <w:ind w:left="720"/>
        <w:contextualSpacing/>
        <w:rPr>
          <w:rFonts w:ascii="Arial Narrow" w:hAnsi="Arial Narrow" w:cs="Arial"/>
          <w:spacing w:val="5"/>
          <w:sz w:val="20"/>
          <w:lang w:val="fr-FR"/>
        </w:rPr>
      </w:pPr>
      <w:r w:rsidRPr="001C2953">
        <w:rPr>
          <w:rFonts w:ascii="Arial Narrow" w:hAnsi="Arial Narrow"/>
          <w:sz w:val="20"/>
          <w:lang w:val="fr-FR"/>
        </w:rPr>
        <w:t>Être informé de la mission de la bibliothèque, de la façon dont elle entend utiliser les dons qui lui sont faits et de sa capacité de les utiliser effectivement pour les raisons pour lesquelles ils sont sollicités</w:t>
      </w:r>
      <w:r w:rsidR="00AC4E01">
        <w:rPr>
          <w:rFonts w:ascii="Arial Narrow" w:hAnsi="Arial Narrow"/>
          <w:sz w:val="20"/>
          <w:lang w:val="fr-FR"/>
        </w:rPr>
        <w:t>.</w:t>
      </w:r>
      <w:r w:rsidRPr="001C2953">
        <w:rPr>
          <w:rFonts w:ascii="Arial Narrow" w:hAnsi="Arial Narrow" w:cs="Arial"/>
          <w:spacing w:val="5"/>
          <w:sz w:val="20"/>
          <w:lang w:val="fr-FR"/>
        </w:rPr>
        <w:t xml:space="preserve"> </w:t>
      </w:r>
    </w:p>
    <w:p w14:paraId="2585008C" w14:textId="77777777" w:rsidR="00813757" w:rsidRPr="001C2953" w:rsidRDefault="00813757" w:rsidP="00813757">
      <w:pPr>
        <w:pStyle w:val="ListParagraph"/>
        <w:widowControl/>
        <w:numPr>
          <w:ilvl w:val="0"/>
          <w:numId w:val="27"/>
        </w:numPr>
        <w:shd w:val="clear" w:color="auto" w:fill="FFFFFF"/>
        <w:ind w:left="720"/>
        <w:contextualSpacing/>
        <w:rPr>
          <w:rFonts w:ascii="Arial Narrow" w:hAnsi="Arial Narrow" w:cs="Arial"/>
          <w:spacing w:val="5"/>
          <w:sz w:val="20"/>
          <w:lang w:val="fr-FR"/>
        </w:rPr>
      </w:pPr>
      <w:r w:rsidRPr="001C2953">
        <w:rPr>
          <w:rFonts w:ascii="Arial Narrow" w:hAnsi="Arial Narrow"/>
          <w:sz w:val="20"/>
          <w:lang w:val="fr-FR"/>
        </w:rPr>
        <w:t>Être informé de l’identité des membres du conseil de direction de la bibliothèque et attendre de ce dernier qu’il fasse preuve de jugement et de prudence dans l’exercice de ses responsabilités.</w:t>
      </w:r>
      <w:r w:rsidRPr="001C2953">
        <w:rPr>
          <w:rFonts w:ascii="Arial Narrow" w:hAnsi="Arial Narrow" w:cs="Arial"/>
          <w:spacing w:val="5"/>
          <w:sz w:val="20"/>
          <w:lang w:val="fr-FR"/>
        </w:rPr>
        <w:t xml:space="preserve"> </w:t>
      </w:r>
    </w:p>
    <w:p w14:paraId="7A72B261" w14:textId="77777777" w:rsidR="00813757" w:rsidRPr="001C2953" w:rsidRDefault="00813757" w:rsidP="00813757">
      <w:pPr>
        <w:pStyle w:val="ListParagraph"/>
        <w:widowControl/>
        <w:numPr>
          <w:ilvl w:val="0"/>
          <w:numId w:val="27"/>
        </w:numPr>
        <w:shd w:val="clear" w:color="auto" w:fill="FFFFFF"/>
        <w:ind w:left="720"/>
        <w:contextualSpacing/>
        <w:rPr>
          <w:rFonts w:ascii="Arial Narrow" w:hAnsi="Arial Narrow" w:cs="Arial"/>
          <w:spacing w:val="5"/>
          <w:sz w:val="20"/>
          <w:lang w:val="fr-FR"/>
        </w:rPr>
      </w:pPr>
      <w:r w:rsidRPr="001C2953">
        <w:rPr>
          <w:rFonts w:ascii="Arial Narrow" w:hAnsi="Arial Narrow"/>
          <w:sz w:val="20"/>
          <w:lang w:val="fr-FR"/>
        </w:rPr>
        <w:t>Avoir accès aux derniers états financiers de la bibliothèque</w:t>
      </w:r>
      <w:r w:rsidRPr="001C2953">
        <w:rPr>
          <w:rFonts w:ascii="Arial Narrow" w:hAnsi="Arial Narrow" w:cs="Arial"/>
          <w:spacing w:val="5"/>
          <w:sz w:val="20"/>
          <w:lang w:val="fr-FR"/>
        </w:rPr>
        <w:t>.</w:t>
      </w:r>
    </w:p>
    <w:p w14:paraId="1D3223EF" w14:textId="77777777" w:rsidR="00813757" w:rsidRPr="001C2953" w:rsidRDefault="00813757" w:rsidP="00813757">
      <w:pPr>
        <w:pStyle w:val="ListParagraph"/>
        <w:widowControl/>
        <w:numPr>
          <w:ilvl w:val="0"/>
          <w:numId w:val="27"/>
        </w:numPr>
        <w:shd w:val="clear" w:color="auto" w:fill="FFFFFF"/>
        <w:ind w:left="720"/>
        <w:contextualSpacing/>
        <w:rPr>
          <w:rFonts w:ascii="Arial Narrow" w:hAnsi="Arial Narrow" w:cs="Arial"/>
          <w:color w:val="000000" w:themeColor="text1"/>
          <w:spacing w:val="5"/>
          <w:sz w:val="20"/>
          <w:lang w:val="fr-FR"/>
        </w:rPr>
      </w:pPr>
      <w:r w:rsidRPr="001C2953">
        <w:rPr>
          <w:rFonts w:ascii="Arial Narrow" w:hAnsi="Arial Narrow"/>
          <w:sz w:val="20"/>
          <w:lang w:val="fr-FR"/>
        </w:rPr>
        <w:t>Avoir l’assurance que ses dons seront utilisés dans le but dans lequel ils sont faits.</w:t>
      </w:r>
      <w:r w:rsidRPr="001C2953">
        <w:rPr>
          <w:rFonts w:ascii="Arial Narrow" w:hAnsi="Arial Narrow" w:cs="Arial"/>
          <w:color w:val="000000" w:themeColor="text1"/>
          <w:spacing w:val="5"/>
          <w:sz w:val="20"/>
          <w:lang w:val="fr-FR"/>
        </w:rPr>
        <w:t xml:space="preserve"> </w:t>
      </w:r>
    </w:p>
    <w:p w14:paraId="2799427F" w14:textId="77777777" w:rsidR="00813757" w:rsidRPr="001C2953" w:rsidRDefault="00813757" w:rsidP="00813757">
      <w:pPr>
        <w:pStyle w:val="ListParagraph"/>
        <w:widowControl/>
        <w:numPr>
          <w:ilvl w:val="0"/>
          <w:numId w:val="27"/>
        </w:numPr>
        <w:shd w:val="clear" w:color="auto" w:fill="FFFFFF"/>
        <w:ind w:left="720"/>
        <w:contextualSpacing/>
        <w:rPr>
          <w:rFonts w:ascii="Arial Narrow" w:hAnsi="Arial Narrow" w:cs="Arial"/>
          <w:color w:val="000000" w:themeColor="text1"/>
          <w:spacing w:val="5"/>
          <w:sz w:val="20"/>
          <w:lang w:val="fr-FR"/>
        </w:rPr>
      </w:pPr>
      <w:r w:rsidRPr="001C2953">
        <w:rPr>
          <w:rFonts w:ascii="Arial Narrow" w:hAnsi="Arial Narrow"/>
          <w:sz w:val="20"/>
          <w:lang w:val="fr-FR"/>
        </w:rPr>
        <w:t>Recevoir les remerciements et la reconnaissance appropriés.</w:t>
      </w:r>
      <w:r w:rsidRPr="001C2953">
        <w:rPr>
          <w:rFonts w:ascii="Arial Narrow" w:hAnsi="Arial Narrow" w:cs="Arial"/>
          <w:color w:val="000000" w:themeColor="text1"/>
          <w:spacing w:val="5"/>
          <w:sz w:val="20"/>
          <w:lang w:val="fr-FR"/>
        </w:rPr>
        <w:t xml:space="preserve"> </w:t>
      </w:r>
    </w:p>
    <w:p w14:paraId="3D98BE3B" w14:textId="1D5DD7DA" w:rsidR="00813757" w:rsidRPr="001C2953" w:rsidRDefault="00813757" w:rsidP="00813757">
      <w:pPr>
        <w:pStyle w:val="ListParagraph"/>
        <w:widowControl/>
        <w:numPr>
          <w:ilvl w:val="0"/>
          <w:numId w:val="27"/>
        </w:numPr>
        <w:shd w:val="clear" w:color="auto" w:fill="FFFFFF"/>
        <w:ind w:left="720"/>
        <w:contextualSpacing/>
        <w:rPr>
          <w:rFonts w:ascii="Arial Narrow" w:hAnsi="Arial Narrow" w:cs="Arial"/>
          <w:color w:val="000000" w:themeColor="text1"/>
          <w:spacing w:val="5"/>
          <w:sz w:val="20"/>
          <w:lang w:val="fr-FR"/>
        </w:rPr>
      </w:pPr>
      <w:r w:rsidRPr="001C2953">
        <w:rPr>
          <w:rFonts w:ascii="Arial Narrow" w:hAnsi="Arial Narrow"/>
          <w:sz w:val="20"/>
          <w:lang w:val="fr-FR"/>
        </w:rPr>
        <w:t>Avoir l’assurance que l’information concernant ses dons sera traitée avec le respect et la confidentialité prévus par la loi</w:t>
      </w:r>
      <w:r w:rsidR="00AC4E01">
        <w:rPr>
          <w:rFonts w:ascii="Arial Narrow" w:hAnsi="Arial Narrow"/>
          <w:sz w:val="20"/>
          <w:lang w:val="fr-FR"/>
        </w:rPr>
        <w:t>.</w:t>
      </w:r>
      <w:r w:rsidRPr="001C2953">
        <w:rPr>
          <w:rFonts w:ascii="Arial Narrow" w:hAnsi="Arial Narrow" w:cs="Arial"/>
          <w:color w:val="000000" w:themeColor="text1"/>
          <w:spacing w:val="5"/>
          <w:sz w:val="20"/>
          <w:lang w:val="fr-FR"/>
        </w:rPr>
        <w:t xml:space="preserve"> </w:t>
      </w:r>
    </w:p>
    <w:p w14:paraId="27C6AAD6" w14:textId="342E74CD" w:rsidR="00813757" w:rsidRPr="001C2953" w:rsidRDefault="00813757" w:rsidP="00813757">
      <w:pPr>
        <w:pStyle w:val="ListParagraph"/>
        <w:widowControl/>
        <w:numPr>
          <w:ilvl w:val="0"/>
          <w:numId w:val="27"/>
        </w:numPr>
        <w:shd w:val="clear" w:color="auto" w:fill="FFFFFF"/>
        <w:ind w:left="720"/>
        <w:contextualSpacing/>
        <w:rPr>
          <w:rFonts w:ascii="Arial Narrow" w:hAnsi="Arial Narrow" w:cs="Arial"/>
          <w:color w:val="000000" w:themeColor="text1"/>
          <w:spacing w:val="5"/>
          <w:sz w:val="20"/>
          <w:lang w:val="fr-FR"/>
        </w:rPr>
      </w:pPr>
      <w:r w:rsidRPr="001C2953">
        <w:rPr>
          <w:rFonts w:ascii="Arial Narrow" w:hAnsi="Arial Narrow"/>
          <w:sz w:val="20"/>
          <w:lang w:val="fr-FR"/>
        </w:rPr>
        <w:t>Avoir la possibilité de faire retirer son nom des listes d’envoi qu’un organisme peut vouloir communiquer à d’autres</w:t>
      </w:r>
      <w:r w:rsidR="00AC4E01">
        <w:rPr>
          <w:rFonts w:ascii="Arial Narrow" w:hAnsi="Arial Narrow"/>
          <w:sz w:val="20"/>
          <w:lang w:val="fr-FR"/>
        </w:rPr>
        <w:t>.</w:t>
      </w:r>
      <w:r w:rsidRPr="001C2953">
        <w:rPr>
          <w:rFonts w:ascii="Arial Narrow" w:hAnsi="Arial Narrow" w:cs="Arial"/>
          <w:color w:val="000000" w:themeColor="text1"/>
          <w:spacing w:val="5"/>
          <w:sz w:val="20"/>
          <w:lang w:val="fr-FR"/>
        </w:rPr>
        <w:t xml:space="preserve"> </w:t>
      </w:r>
    </w:p>
    <w:p w14:paraId="0B949F93" w14:textId="77777777" w:rsidR="00813757" w:rsidRPr="001C2953" w:rsidRDefault="00813757" w:rsidP="00813757">
      <w:pPr>
        <w:pStyle w:val="ListParagraph"/>
        <w:widowControl/>
        <w:numPr>
          <w:ilvl w:val="0"/>
          <w:numId w:val="27"/>
        </w:numPr>
        <w:shd w:val="clear" w:color="auto" w:fill="FFFFFF"/>
        <w:ind w:left="720"/>
        <w:contextualSpacing/>
        <w:rPr>
          <w:rFonts w:ascii="Arial Narrow" w:hAnsi="Arial Narrow" w:cs="Arial"/>
          <w:color w:val="000000" w:themeColor="text1"/>
          <w:spacing w:val="5"/>
          <w:sz w:val="20"/>
          <w:lang w:val="fr-FR"/>
        </w:rPr>
      </w:pPr>
      <w:r w:rsidRPr="001C2953">
        <w:rPr>
          <w:rFonts w:ascii="Arial Narrow" w:hAnsi="Arial Narrow"/>
          <w:sz w:val="20"/>
          <w:lang w:val="fr-FR"/>
        </w:rPr>
        <w:t>Se sentir libre de poser des questions quand il fait un don et recevoir promptement des réponses véridiques et franches.</w:t>
      </w:r>
    </w:p>
    <w:p w14:paraId="5FBA76FC" w14:textId="77777777" w:rsidR="00813757" w:rsidRPr="001C2953" w:rsidRDefault="00813757" w:rsidP="00813757">
      <w:pPr>
        <w:tabs>
          <w:tab w:val="left" w:pos="1080"/>
        </w:tabs>
        <w:ind w:firstLine="720"/>
        <w:rPr>
          <w:rFonts w:ascii="Arial Narrow" w:hAnsi="Arial Narrow"/>
          <w:color w:val="000000" w:themeColor="text1"/>
          <w:sz w:val="20"/>
          <w:lang w:val="fr-FR"/>
        </w:rPr>
      </w:pPr>
    </w:p>
    <w:p w14:paraId="0F737E50" w14:textId="77777777" w:rsidR="00813757" w:rsidRPr="001C2953" w:rsidRDefault="00813757" w:rsidP="00813757">
      <w:pPr>
        <w:tabs>
          <w:tab w:val="left" w:pos="360"/>
        </w:tabs>
        <w:ind w:left="360" w:hanging="360"/>
        <w:rPr>
          <w:rFonts w:ascii="Arial Narrow" w:hAnsi="Arial Narrow"/>
          <w:color w:val="000000" w:themeColor="text1"/>
          <w:sz w:val="20"/>
          <w:lang w:val="fr-FR"/>
        </w:rPr>
      </w:pPr>
    </w:p>
    <w:p w14:paraId="5CC17197" w14:textId="77777777" w:rsidR="00813757" w:rsidRPr="001C2953" w:rsidRDefault="00813757" w:rsidP="00813757">
      <w:pPr>
        <w:tabs>
          <w:tab w:val="left" w:pos="360"/>
        </w:tabs>
        <w:ind w:left="360" w:hanging="360"/>
        <w:rPr>
          <w:rFonts w:ascii="Arial Narrow" w:hAnsi="Arial Narrow"/>
          <w:color w:val="000000" w:themeColor="text1"/>
          <w:sz w:val="20"/>
          <w:lang w:val="fr-FR"/>
        </w:rPr>
      </w:pPr>
    </w:p>
    <w:p w14:paraId="042FA658" w14:textId="77777777" w:rsidR="00813757" w:rsidRPr="001C2953" w:rsidRDefault="00813757" w:rsidP="00813757">
      <w:pPr>
        <w:shd w:val="clear" w:color="auto" w:fill="FFFFFF"/>
        <w:rPr>
          <w:rFonts w:ascii="Arial Narrow" w:hAnsi="Arial Narrow"/>
          <w:color w:val="000000" w:themeColor="text1"/>
          <w:sz w:val="20"/>
          <w:lang w:val="fr-FR"/>
        </w:rPr>
      </w:pPr>
      <w:r w:rsidRPr="001C2953">
        <w:rPr>
          <w:rFonts w:ascii="Arial Narrow" w:hAnsi="Arial Narrow"/>
          <w:color w:val="000000" w:themeColor="text1"/>
          <w:sz w:val="20"/>
          <w:lang w:val="fr-FR"/>
        </w:rPr>
        <w:t xml:space="preserve">*Adapté de la </w:t>
      </w:r>
      <w:r w:rsidRPr="001C2953">
        <w:rPr>
          <w:rFonts w:ascii="Arial Narrow" w:hAnsi="Arial Narrow"/>
          <w:i/>
          <w:sz w:val="20"/>
          <w:lang w:val="fr-FR"/>
        </w:rPr>
        <w:t xml:space="preserve">Charte des droits du donateur </w:t>
      </w:r>
      <w:r w:rsidRPr="001C2953">
        <w:rPr>
          <w:rFonts w:ascii="Arial Narrow" w:hAnsi="Arial Narrow"/>
          <w:sz w:val="20"/>
          <w:lang w:val="fr-FR"/>
        </w:rPr>
        <w:t xml:space="preserve">de l’Association des professionnels en philanthropie - </w:t>
      </w:r>
      <w:hyperlink r:id="rId7" w:history="1">
        <w:r w:rsidRPr="001C2953">
          <w:rPr>
            <w:rStyle w:val="Hyperlink"/>
            <w:rFonts w:ascii="Arial Narrow" w:hAnsi="Arial Narrow"/>
            <w:sz w:val="20"/>
            <w:lang w:val="fr-FR"/>
          </w:rPr>
          <w:t>https://afpglobal.org/sites/default/files/attachments/2018-10/DonorBillofRightsFrench.pdf</w:t>
        </w:r>
      </w:hyperlink>
      <w:r w:rsidRPr="001C2953">
        <w:rPr>
          <w:rFonts w:ascii="Arial Narrow" w:hAnsi="Arial Narrow"/>
          <w:color w:val="000000" w:themeColor="text1"/>
          <w:sz w:val="20"/>
          <w:lang w:val="fr-FR"/>
        </w:rPr>
        <w:t xml:space="preserve"> </w:t>
      </w:r>
    </w:p>
    <w:p w14:paraId="330D3471" w14:textId="77777777" w:rsidR="00813757" w:rsidRPr="001C2953" w:rsidRDefault="00813757" w:rsidP="00813757">
      <w:pPr>
        <w:shd w:val="clear" w:color="auto" w:fill="FFFFFF"/>
        <w:rPr>
          <w:rFonts w:ascii="Arial Narrow" w:hAnsi="Arial Narrow"/>
          <w:b/>
          <w:sz w:val="20"/>
          <w:lang w:val="fr-FR"/>
        </w:rPr>
      </w:pPr>
      <w:r w:rsidRPr="001C2953">
        <w:rPr>
          <w:rFonts w:ascii="Arial Narrow" w:hAnsi="Arial Narrow"/>
          <w:color w:val="000000" w:themeColor="text1"/>
          <w:sz w:val="20"/>
          <w:lang w:val="fr-FR"/>
        </w:rPr>
        <w:t xml:space="preserve">La permission de </w:t>
      </w:r>
      <w:r w:rsidRPr="001C2953">
        <w:rPr>
          <w:rFonts w:ascii="Arial Narrow" w:hAnsi="Arial Narrow"/>
          <w:sz w:val="20"/>
          <w:lang w:val="fr-FR"/>
        </w:rPr>
        <w:t xml:space="preserve">l’Association des professionnels en philanthropie est requise pour se servir de la </w:t>
      </w:r>
      <w:r w:rsidRPr="001C2953">
        <w:rPr>
          <w:rFonts w:ascii="Arial Narrow" w:hAnsi="Arial Narrow"/>
          <w:i/>
          <w:sz w:val="20"/>
          <w:lang w:val="fr-FR"/>
        </w:rPr>
        <w:t xml:space="preserve">Charte des droits du donateur. </w:t>
      </w:r>
      <w:r w:rsidRPr="001C2953">
        <w:rPr>
          <w:rFonts w:ascii="Arial Narrow" w:hAnsi="Arial Narrow"/>
          <w:color w:val="000000" w:themeColor="text1"/>
          <w:sz w:val="20"/>
          <w:lang w:val="fr-FR"/>
        </w:rPr>
        <w:t xml:space="preserve">- voir </w:t>
      </w:r>
      <w:hyperlink r:id="rId8" w:history="1">
        <w:r w:rsidRPr="001C2953">
          <w:rPr>
            <w:rStyle w:val="Hyperlink"/>
            <w:rFonts w:ascii="Arial Narrow" w:hAnsi="Arial Narrow"/>
            <w:color w:val="000000" w:themeColor="text1"/>
            <w:sz w:val="20"/>
            <w:lang w:val="fr-FR"/>
          </w:rPr>
          <w:t>https://afpglobal.org/donor-bill-rights</w:t>
        </w:r>
      </w:hyperlink>
      <w:r w:rsidRPr="001C2953">
        <w:rPr>
          <w:rFonts w:ascii="Arial Narrow" w:hAnsi="Arial Narrow"/>
          <w:color w:val="000000" w:themeColor="text1"/>
          <w:sz w:val="20"/>
          <w:lang w:val="fr-FR"/>
        </w:rPr>
        <w:t xml:space="preserve"> </w:t>
      </w:r>
    </w:p>
    <w:p w14:paraId="1CA1AEEA" w14:textId="77777777" w:rsidR="00813757" w:rsidRPr="001C2953" w:rsidRDefault="00813757" w:rsidP="00813757">
      <w:pPr>
        <w:tabs>
          <w:tab w:val="left" w:pos="1080"/>
        </w:tabs>
        <w:rPr>
          <w:rFonts w:ascii="Arial Narrow" w:hAnsi="Arial Narrow"/>
          <w:sz w:val="20"/>
          <w:lang w:val="fr-FR"/>
        </w:rPr>
      </w:pPr>
    </w:p>
    <w:p w14:paraId="6390A9C8" w14:textId="41992E07" w:rsidR="00A358EB" w:rsidRPr="00AC4E01" w:rsidRDefault="00A358EB" w:rsidP="00AC4E01">
      <w:pPr>
        <w:rPr>
          <w:rFonts w:ascii="Arial Narrow" w:hAnsi="Arial Narrow" w:cs="Arial"/>
          <w:b/>
          <w:color w:val="000000"/>
          <w:sz w:val="20"/>
          <w:lang w:val="fr-FR"/>
        </w:rPr>
      </w:pPr>
    </w:p>
    <w:sectPr w:rsidR="00A358EB" w:rsidRPr="00AC4E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0B81"/>
    <w:multiLevelType w:val="hybridMultilevel"/>
    <w:tmpl w:val="F16A3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A7042"/>
    <w:multiLevelType w:val="hybridMultilevel"/>
    <w:tmpl w:val="2E70C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81C68"/>
    <w:multiLevelType w:val="hybridMultilevel"/>
    <w:tmpl w:val="39F6032E"/>
    <w:lvl w:ilvl="0" w:tplc="08085E18">
      <w:start w:val="1"/>
      <w:numFmt w:val="decimal"/>
      <w:lvlText w:val="%1."/>
      <w:lvlJc w:val="left"/>
      <w:pPr>
        <w:ind w:left="720" w:hanging="360"/>
      </w:pPr>
      <w:rPr>
        <w:rFonts w:ascii="Arial Narrow" w:hAnsi="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E3F1B"/>
    <w:multiLevelType w:val="multilevel"/>
    <w:tmpl w:val="5680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B1325"/>
    <w:multiLevelType w:val="hybridMultilevel"/>
    <w:tmpl w:val="60F88672"/>
    <w:lvl w:ilvl="0" w:tplc="D8D63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B6836"/>
    <w:multiLevelType w:val="hybridMultilevel"/>
    <w:tmpl w:val="66949EFC"/>
    <w:lvl w:ilvl="0" w:tplc="76840FF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1582D"/>
    <w:multiLevelType w:val="hybridMultilevel"/>
    <w:tmpl w:val="07082C26"/>
    <w:lvl w:ilvl="0" w:tplc="0C0C000F">
      <w:start w:val="1"/>
      <w:numFmt w:val="decimal"/>
      <w:lvlText w:val="%1."/>
      <w:lvlJc w:val="left"/>
      <w:pPr>
        <w:tabs>
          <w:tab w:val="num" w:pos="360"/>
        </w:tabs>
        <w:ind w:left="360" w:hanging="360"/>
      </w:pPr>
    </w:lvl>
    <w:lvl w:ilvl="1" w:tplc="000AF4C4">
      <w:start w:val="1"/>
      <w:numFmt w:val="lowerLetter"/>
      <w:lvlText w:val="%2)"/>
      <w:lvlJc w:val="left"/>
      <w:pPr>
        <w:tabs>
          <w:tab w:val="num" w:pos="1080"/>
        </w:tabs>
        <w:ind w:left="1080" w:hanging="360"/>
      </w:pPr>
      <w:rPr>
        <w:rFonts w:ascii="Arial Narrow" w:hAnsi="Arial Narrow" w:hint="default"/>
        <w:b w:val="0"/>
        <w:i w:val="0"/>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7" w15:restartNumberingAfterBreak="0">
    <w:nsid w:val="2E6C269A"/>
    <w:multiLevelType w:val="hybridMultilevel"/>
    <w:tmpl w:val="C6C4075E"/>
    <w:lvl w:ilvl="0" w:tplc="D8D63D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E065A5"/>
    <w:multiLevelType w:val="hybridMultilevel"/>
    <w:tmpl w:val="6C4AED5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617573A"/>
    <w:multiLevelType w:val="hybridMultilevel"/>
    <w:tmpl w:val="2348E6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B214A"/>
    <w:multiLevelType w:val="hybridMultilevel"/>
    <w:tmpl w:val="63E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B3671"/>
    <w:multiLevelType w:val="hybridMultilevel"/>
    <w:tmpl w:val="425E9FE0"/>
    <w:lvl w:ilvl="0" w:tplc="F97C8CA8">
      <w:start w:val="1"/>
      <w:numFmt w:val="decimal"/>
      <w:lvlText w:val="%1."/>
      <w:lvlJc w:val="left"/>
      <w:pPr>
        <w:tabs>
          <w:tab w:val="num" w:pos="1080"/>
        </w:tabs>
        <w:ind w:left="1080" w:hanging="360"/>
      </w:pPr>
      <w:rPr>
        <w:rFonts w:ascii="Arial Narrow" w:eastAsia="Times New Roman" w:hAnsi="Arial Narrow" w:cs="Times New Roman"/>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2" w15:restartNumberingAfterBreak="0">
    <w:nsid w:val="44F36D33"/>
    <w:multiLevelType w:val="hybridMultilevel"/>
    <w:tmpl w:val="1DD6FB20"/>
    <w:lvl w:ilvl="0" w:tplc="AD0660F2">
      <w:start w:val="1"/>
      <w:numFmt w:val="decimal"/>
      <w:lvlText w:val="%1."/>
      <w:lvlJc w:val="left"/>
      <w:pPr>
        <w:tabs>
          <w:tab w:val="num" w:pos="1856"/>
        </w:tabs>
        <w:ind w:left="1856" w:hanging="360"/>
      </w:pPr>
      <w:rPr>
        <w:rFonts w:ascii="Arial Narrow" w:hAnsi="Arial Narrow"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E8E7593"/>
    <w:multiLevelType w:val="hybridMultilevel"/>
    <w:tmpl w:val="C8D665D6"/>
    <w:lvl w:ilvl="0" w:tplc="04A20A70">
      <w:start w:val="3"/>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562D5"/>
    <w:multiLevelType w:val="hybridMultilevel"/>
    <w:tmpl w:val="17301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9B7BA5"/>
    <w:multiLevelType w:val="hybridMultilevel"/>
    <w:tmpl w:val="9E10526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4C02061"/>
    <w:multiLevelType w:val="hybridMultilevel"/>
    <w:tmpl w:val="B24E11B4"/>
    <w:lvl w:ilvl="0" w:tplc="770440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E928F9"/>
    <w:multiLevelType w:val="hybridMultilevel"/>
    <w:tmpl w:val="364C7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55622"/>
    <w:multiLevelType w:val="hybridMultilevel"/>
    <w:tmpl w:val="4D8EA3E6"/>
    <w:lvl w:ilvl="0" w:tplc="FA5EA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74775"/>
    <w:multiLevelType w:val="hybridMultilevel"/>
    <w:tmpl w:val="3530FE8C"/>
    <w:lvl w:ilvl="0" w:tplc="AD0660F2">
      <w:start w:val="1"/>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9F7883"/>
    <w:multiLevelType w:val="hybridMultilevel"/>
    <w:tmpl w:val="F8A2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10FED"/>
    <w:multiLevelType w:val="hybridMultilevel"/>
    <w:tmpl w:val="579A11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22B4ABB"/>
    <w:multiLevelType w:val="hybridMultilevel"/>
    <w:tmpl w:val="4BA08F24"/>
    <w:lvl w:ilvl="0" w:tplc="5B787C18">
      <w:start w:val="1"/>
      <w:numFmt w:val="lowerLetter"/>
      <w:lvlText w:val="%1)"/>
      <w:lvlJc w:val="left"/>
      <w:pPr>
        <w:tabs>
          <w:tab w:val="num" w:pos="1136"/>
        </w:tabs>
        <w:ind w:left="1136" w:hanging="360"/>
      </w:pPr>
      <w:rPr>
        <w:rFonts w:ascii="Arial Narrow" w:hAnsi="Arial Narrow"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24D74D6"/>
    <w:multiLevelType w:val="hybridMultilevel"/>
    <w:tmpl w:val="2D4418B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CE0826"/>
    <w:multiLevelType w:val="hybridMultilevel"/>
    <w:tmpl w:val="7EDE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F2BA9"/>
    <w:multiLevelType w:val="hybridMultilevel"/>
    <w:tmpl w:val="BF4C3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27EAB"/>
    <w:multiLevelType w:val="hybridMultilevel"/>
    <w:tmpl w:val="63AAE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2"/>
  </w:num>
  <w:num w:numId="3">
    <w:abstractNumId w:val="13"/>
  </w:num>
  <w:num w:numId="4">
    <w:abstractNumId w:val="19"/>
  </w:num>
  <w:num w:numId="5">
    <w:abstractNumId w:val="12"/>
  </w:num>
  <w:num w:numId="6">
    <w:abstractNumId w:val="6"/>
  </w:num>
  <w:num w:numId="7">
    <w:abstractNumId w:val="2"/>
  </w:num>
  <w:num w:numId="8">
    <w:abstractNumId w:val="10"/>
  </w:num>
  <w:num w:numId="9">
    <w:abstractNumId w:val="25"/>
  </w:num>
  <w:num w:numId="10">
    <w:abstractNumId w:val="0"/>
  </w:num>
  <w:num w:numId="11">
    <w:abstractNumId w:val="3"/>
  </w:num>
  <w:num w:numId="12">
    <w:abstractNumId w:val="11"/>
  </w:num>
  <w:num w:numId="13">
    <w:abstractNumId w:val="17"/>
  </w:num>
  <w:num w:numId="14">
    <w:abstractNumId w:val="20"/>
  </w:num>
  <w:num w:numId="15">
    <w:abstractNumId w:val="9"/>
  </w:num>
  <w:num w:numId="16">
    <w:abstractNumId w:val="23"/>
  </w:num>
  <w:num w:numId="17">
    <w:abstractNumId w:val="26"/>
  </w:num>
  <w:num w:numId="18">
    <w:abstractNumId w:val="4"/>
  </w:num>
  <w:num w:numId="19">
    <w:abstractNumId w:val="7"/>
  </w:num>
  <w:num w:numId="20">
    <w:abstractNumId w:val="1"/>
  </w:num>
  <w:num w:numId="21">
    <w:abstractNumId w:val="18"/>
  </w:num>
  <w:num w:numId="22">
    <w:abstractNumId w:val="2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80872"/>
    <w:rsid w:val="000E4E24"/>
    <w:rsid w:val="00194AC4"/>
    <w:rsid w:val="001B0FAF"/>
    <w:rsid w:val="001C43FC"/>
    <w:rsid w:val="0021643F"/>
    <w:rsid w:val="00247FD5"/>
    <w:rsid w:val="002B60DC"/>
    <w:rsid w:val="002F1673"/>
    <w:rsid w:val="003354A3"/>
    <w:rsid w:val="00336B0D"/>
    <w:rsid w:val="00350507"/>
    <w:rsid w:val="00400357"/>
    <w:rsid w:val="00444225"/>
    <w:rsid w:val="00455DD8"/>
    <w:rsid w:val="0046762B"/>
    <w:rsid w:val="00541830"/>
    <w:rsid w:val="005946F0"/>
    <w:rsid w:val="005D1BF7"/>
    <w:rsid w:val="006459B3"/>
    <w:rsid w:val="00646648"/>
    <w:rsid w:val="0066695B"/>
    <w:rsid w:val="006A14AC"/>
    <w:rsid w:val="006B3920"/>
    <w:rsid w:val="006C5C87"/>
    <w:rsid w:val="00813757"/>
    <w:rsid w:val="00814CBD"/>
    <w:rsid w:val="008737AA"/>
    <w:rsid w:val="008F7587"/>
    <w:rsid w:val="008F7C7C"/>
    <w:rsid w:val="0093190D"/>
    <w:rsid w:val="0095499A"/>
    <w:rsid w:val="00993E3F"/>
    <w:rsid w:val="009C31AF"/>
    <w:rsid w:val="00A00FB8"/>
    <w:rsid w:val="00A358EB"/>
    <w:rsid w:val="00AC4E01"/>
    <w:rsid w:val="00BD4569"/>
    <w:rsid w:val="00BF324C"/>
    <w:rsid w:val="00D023A4"/>
    <w:rsid w:val="00D14D64"/>
    <w:rsid w:val="00E105C2"/>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 w:type="character" w:styleId="Strong">
    <w:name w:val="Strong"/>
    <w:uiPriority w:val="22"/>
    <w:qFormat/>
    <w:rsid w:val="00A358EB"/>
    <w:rPr>
      <w:b/>
      <w:bCs/>
    </w:rPr>
  </w:style>
  <w:style w:type="paragraph" w:customStyle="1" w:styleId="Body">
    <w:name w:val="Body"/>
    <w:rsid w:val="00400357"/>
    <w:pPr>
      <w:pBdr>
        <w:top w:val="nil"/>
        <w:left w:val="nil"/>
        <w:bottom w:val="nil"/>
        <w:right w:val="nil"/>
        <w:between w:val="nil"/>
        <w:bar w:val="nil"/>
      </w:pBdr>
    </w:pPr>
    <w:rPr>
      <w:rFonts w:ascii="Arial" w:eastAsia="Arial Unicode MS" w:hAnsi="Arial" w:cs="Arial Unicode MS"/>
      <w:color w:val="000000"/>
      <w:sz w:val="22"/>
      <w:szCs w:val="22"/>
      <w:u w:color="000000"/>
      <w:bdr w:val="nil"/>
      <w:lang w:val="da-DK"/>
    </w:rPr>
  </w:style>
  <w:style w:type="paragraph" w:styleId="Quote">
    <w:name w:val="Quote"/>
    <w:basedOn w:val="Normal"/>
    <w:next w:val="Normal"/>
    <w:link w:val="QuoteChar"/>
    <w:qFormat/>
    <w:rsid w:val="00400357"/>
    <w:pPr>
      <w:widowControl/>
      <w:spacing w:before="200" w:after="160"/>
      <w:ind w:left="864" w:right="864"/>
      <w:jc w:val="center"/>
    </w:pPr>
    <w:rPr>
      <w:rFonts w:ascii="Arial" w:hAnsi="Arial" w:cs="Arial"/>
      <w:i/>
      <w:iCs/>
      <w:snapToGrid/>
      <w:color w:val="404040" w:themeColor="text1" w:themeTint="BF"/>
      <w:sz w:val="22"/>
      <w:szCs w:val="22"/>
    </w:rPr>
  </w:style>
  <w:style w:type="character" w:customStyle="1" w:styleId="QuoteChar">
    <w:name w:val="Quote Char"/>
    <w:basedOn w:val="DefaultParagraphFont"/>
    <w:link w:val="Quote"/>
    <w:rsid w:val="00400357"/>
    <w:rPr>
      <w:rFonts w:ascii="Arial" w:eastAsia="Times New Roman" w:hAnsi="Arial" w:cs="Arial"/>
      <w:i/>
      <w:iCs/>
      <w:color w:val="404040" w:themeColor="text1" w:themeTint="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pglobal.org/donor-bill-rights" TargetMode="External"/><Relationship Id="rId3" Type="http://schemas.openxmlformats.org/officeDocument/2006/relationships/settings" Target="settings.xml"/><Relationship Id="rId7" Type="http://schemas.openxmlformats.org/officeDocument/2006/relationships/hyperlink" Target="https://afpglobal.org/sites/default/files/attachments/2018-10/DonorBillofRightsFrenc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France Desnoyers</cp:lastModifiedBy>
  <cp:revision>2</cp:revision>
  <cp:lastPrinted>2021-04-16T14:39:00Z</cp:lastPrinted>
  <dcterms:created xsi:type="dcterms:W3CDTF">2021-05-18T17:54:00Z</dcterms:created>
  <dcterms:modified xsi:type="dcterms:W3CDTF">2021-05-18T17:54:00Z</dcterms:modified>
</cp:coreProperties>
</file>