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C0C94" w14:textId="77777777" w:rsidR="00B74375" w:rsidRPr="00002FD4" w:rsidRDefault="00B74375" w:rsidP="00B74375">
      <w:pPr>
        <w:jc w:val="center"/>
        <w:rPr>
          <w:rFonts w:ascii="Arial" w:hAnsi="Arial" w:cs="Arial"/>
          <w:b/>
          <w:bCs/>
          <w:sz w:val="20"/>
        </w:rPr>
      </w:pPr>
      <w:r w:rsidRPr="009666AE">
        <w:rPr>
          <w:noProof/>
          <w:sz w:val="20"/>
          <w:lang w:eastAsia="fr-CA"/>
        </w:rPr>
        <w:drawing>
          <wp:inline distT="0" distB="0" distL="0" distR="0" wp14:anchorId="43CAA173" wp14:editId="4FA0A366">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rPr>
        <w:t xml:space="preserve">          </w:t>
      </w:r>
      <w:r w:rsidRPr="00002FD4">
        <w:rPr>
          <w:b/>
          <w:bCs/>
          <w:sz w:val="28"/>
          <w:szCs w:val="28"/>
        </w:rPr>
        <w:t xml:space="preserve">BIBLIOTHÈQUE PUBLIQUE DE CASSELMAN      </w:t>
      </w:r>
      <w:r w:rsidRPr="00002FD4">
        <w:rPr>
          <w:rFonts w:ascii="Arial" w:hAnsi="Arial" w:cs="Arial"/>
          <w:b/>
          <w:bCs/>
          <w:sz w:val="20"/>
        </w:rPr>
        <w:t xml:space="preserve"> </w:t>
      </w:r>
      <w:r w:rsidRPr="009666AE">
        <w:rPr>
          <w:b/>
          <w:bCs/>
          <w:noProof/>
          <w:sz w:val="20"/>
          <w:lang w:eastAsia="fr-CA"/>
        </w:rPr>
        <w:drawing>
          <wp:inline distT="0" distB="0" distL="0" distR="0" wp14:anchorId="60A96C1A" wp14:editId="5EA4F86F">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087B560C" w14:textId="77777777" w:rsidR="00B74375" w:rsidRPr="00684024" w:rsidRDefault="00B74375" w:rsidP="00B74375">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EA0BA63" w14:textId="77777777" w:rsidR="00B74375" w:rsidRPr="00684024" w:rsidRDefault="00B74375" w:rsidP="00B74375">
      <w:pPr>
        <w:pStyle w:val="NoSpacing"/>
        <w:jc w:val="center"/>
        <w:rPr>
          <w:rStyle w:val="SubtleEmphasis"/>
          <w:b/>
          <w:sz w:val="16"/>
          <w:szCs w:val="16"/>
        </w:rPr>
      </w:pPr>
      <w:r w:rsidRPr="00684024">
        <w:rPr>
          <w:rStyle w:val="SubtleEmphasis"/>
          <w:sz w:val="16"/>
          <w:szCs w:val="16"/>
        </w:rPr>
        <w:t>CASSELMAN, ON</w:t>
      </w:r>
    </w:p>
    <w:p w14:paraId="771B525C" w14:textId="77777777" w:rsidR="00B74375" w:rsidRPr="00684024" w:rsidRDefault="00B74375" w:rsidP="00B74375">
      <w:pPr>
        <w:pStyle w:val="NoSpacing"/>
        <w:jc w:val="center"/>
        <w:rPr>
          <w:rStyle w:val="SubtleEmphasis"/>
          <w:b/>
          <w:sz w:val="16"/>
          <w:szCs w:val="16"/>
        </w:rPr>
      </w:pPr>
      <w:r w:rsidRPr="00684024">
        <w:rPr>
          <w:rStyle w:val="SubtleEmphasis"/>
          <w:sz w:val="16"/>
          <w:szCs w:val="16"/>
        </w:rPr>
        <w:t>K0A 1M0</w:t>
      </w:r>
    </w:p>
    <w:p w14:paraId="6E3390ED" w14:textId="77777777" w:rsidR="00B74375" w:rsidRDefault="00B74375" w:rsidP="00B74375">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4B4BB787" w14:textId="77777777" w:rsidR="00B74375" w:rsidRPr="00002FD4" w:rsidRDefault="00B74375" w:rsidP="00B74375">
      <w:pPr>
        <w:rPr>
          <w:b/>
          <w:sz w:val="16"/>
          <w:szCs w:val="16"/>
        </w:rPr>
      </w:pPr>
    </w:p>
    <w:p w14:paraId="32CC9162" w14:textId="77777777" w:rsidR="00B74375" w:rsidRDefault="00B74375" w:rsidP="00B74375">
      <w:pPr>
        <w:rPr>
          <w:rFonts w:ascii="Calibri" w:hAnsi="Calibri" w:cs="Calibri"/>
          <w:b/>
          <w:sz w:val="28"/>
          <w:szCs w:val="28"/>
        </w:rPr>
      </w:pPr>
      <w:r>
        <w:rPr>
          <w:rFonts w:ascii="Calibri" w:hAnsi="Calibri" w:cs="Calibri"/>
          <w:b/>
          <w:sz w:val="28"/>
          <w:szCs w:val="28"/>
        </w:rPr>
        <w:t>___________________________________________________________________</w:t>
      </w:r>
    </w:p>
    <w:p w14:paraId="6CF2202F" w14:textId="77777777" w:rsidR="00B74375" w:rsidRPr="007C27EE" w:rsidRDefault="00B74375" w:rsidP="00B74375">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B74375" w:rsidRPr="007C27EE" w14:paraId="2BF912C7" w14:textId="77777777" w:rsidTr="004B2A19">
        <w:trPr>
          <w:trHeight w:val="365"/>
        </w:trPr>
        <w:tc>
          <w:tcPr>
            <w:tcW w:w="2019" w:type="dxa"/>
          </w:tcPr>
          <w:p w14:paraId="15D0DF26" w14:textId="458530E5" w:rsidR="00B74375" w:rsidRPr="007C27EE" w:rsidRDefault="00B74375" w:rsidP="004B2A19">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090D6776" w14:textId="409D6141" w:rsidR="00B74375" w:rsidRPr="00B74375" w:rsidRDefault="00B74375" w:rsidP="004B2A19">
            <w:pPr>
              <w:rPr>
                <w:rFonts w:ascii="Arial Narrow" w:hAnsi="Arial Narrow"/>
                <w:bCs/>
                <w:color w:val="000000" w:themeColor="text1"/>
                <w:sz w:val="20"/>
              </w:rPr>
            </w:pPr>
            <w:r>
              <w:rPr>
                <w:rFonts w:ascii="Arial Narrow" w:hAnsi="Arial Narrow"/>
                <w:bCs/>
                <w:color w:val="000000" w:themeColor="text1"/>
                <w:sz w:val="20"/>
              </w:rPr>
              <w:t>Politique-cadre</w:t>
            </w:r>
          </w:p>
        </w:tc>
        <w:tc>
          <w:tcPr>
            <w:tcW w:w="2767" w:type="dxa"/>
          </w:tcPr>
          <w:p w14:paraId="6246C540" w14:textId="77777777" w:rsidR="00B74375" w:rsidRPr="007C27EE" w:rsidRDefault="00B74375" w:rsidP="004B2A19">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500A089B" w14:textId="632D0870" w:rsidR="00B74375" w:rsidRPr="00B74375" w:rsidRDefault="00B74375" w:rsidP="004B2A19">
            <w:pPr>
              <w:rPr>
                <w:rFonts w:ascii="Arial Narrow" w:hAnsi="Arial Narrow"/>
                <w:bCs/>
                <w:color w:val="000000" w:themeColor="text1"/>
                <w:sz w:val="20"/>
              </w:rPr>
            </w:pPr>
            <w:r>
              <w:rPr>
                <w:rFonts w:ascii="Arial Narrow" w:hAnsi="Arial Narrow"/>
                <w:bCs/>
                <w:color w:val="000000" w:themeColor="text1"/>
                <w:sz w:val="20"/>
              </w:rPr>
              <w:t>PC-01</w:t>
            </w:r>
          </w:p>
        </w:tc>
      </w:tr>
      <w:tr w:rsidR="00B74375" w:rsidRPr="007C27EE" w14:paraId="5C8039EE" w14:textId="77777777" w:rsidTr="004B2A19">
        <w:trPr>
          <w:trHeight w:val="622"/>
        </w:trPr>
        <w:tc>
          <w:tcPr>
            <w:tcW w:w="2019" w:type="dxa"/>
          </w:tcPr>
          <w:p w14:paraId="0D52286C" w14:textId="77777777" w:rsidR="00B74375" w:rsidRPr="007C27EE" w:rsidRDefault="00B74375" w:rsidP="004B2A19">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23E57FB1" w14:textId="01A247F4" w:rsidR="00B74375" w:rsidRPr="008D1D0D" w:rsidRDefault="00B74375" w:rsidP="004B2A19">
            <w:pPr>
              <w:ind w:right="306"/>
              <w:rPr>
                <w:rFonts w:ascii="Arial Narrow" w:hAnsi="Arial Narrow" w:cs="Arial Narrow"/>
                <w:bCs/>
                <w:color w:val="000000" w:themeColor="text1"/>
                <w:sz w:val="20"/>
              </w:rPr>
            </w:pPr>
            <w:r>
              <w:rPr>
                <w:rFonts w:ascii="Arial Narrow" w:hAnsi="Arial Narrow" w:cs="Arial Narrow"/>
                <w:bCs/>
                <w:color w:val="000000" w:themeColor="text1"/>
                <w:sz w:val="20"/>
              </w:rPr>
              <w:t>Énoncé de mission</w:t>
            </w:r>
          </w:p>
        </w:tc>
        <w:tc>
          <w:tcPr>
            <w:tcW w:w="2767" w:type="dxa"/>
          </w:tcPr>
          <w:p w14:paraId="36607594" w14:textId="2AD47B35" w:rsidR="00B74375" w:rsidRPr="007C27EE" w:rsidRDefault="00B74375" w:rsidP="004B2A19">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t xml:space="preserve"> </w:t>
            </w:r>
            <w:r>
              <w:rPr>
                <w:rFonts w:ascii="Arial Narrow" w:hAnsi="Arial Narrow"/>
                <w:color w:val="000000" w:themeColor="text1"/>
                <w:sz w:val="20"/>
              </w:rPr>
              <w:br/>
              <w:t>18 octobre 2016</w:t>
            </w:r>
          </w:p>
        </w:tc>
        <w:tc>
          <w:tcPr>
            <w:tcW w:w="1927" w:type="dxa"/>
          </w:tcPr>
          <w:p w14:paraId="2D8B8529" w14:textId="77777777" w:rsidR="00B74375" w:rsidRPr="007C27EE" w:rsidRDefault="00B74375" w:rsidP="004B2A19">
            <w:pPr>
              <w:rPr>
                <w:rFonts w:ascii="Arial Narrow" w:hAnsi="Arial Narrow"/>
                <w:b/>
                <w:color w:val="000000" w:themeColor="text1"/>
                <w:sz w:val="20"/>
              </w:rPr>
            </w:pPr>
          </w:p>
        </w:tc>
      </w:tr>
      <w:tr w:rsidR="00B74375" w:rsidRPr="00610062" w14:paraId="5C3DD3C7" w14:textId="77777777" w:rsidTr="004B2A19">
        <w:trPr>
          <w:trHeight w:val="476"/>
        </w:trPr>
        <w:tc>
          <w:tcPr>
            <w:tcW w:w="2019" w:type="dxa"/>
          </w:tcPr>
          <w:p w14:paraId="3E3B369A" w14:textId="77777777" w:rsidR="00B74375" w:rsidRPr="007C27EE" w:rsidRDefault="00B74375" w:rsidP="004B2A19">
            <w:pPr>
              <w:rPr>
                <w:rFonts w:ascii="Arial Narrow" w:hAnsi="Arial Narrow"/>
                <w:color w:val="000000" w:themeColor="text1"/>
                <w:sz w:val="20"/>
              </w:rPr>
            </w:pPr>
          </w:p>
        </w:tc>
        <w:tc>
          <w:tcPr>
            <w:tcW w:w="3330" w:type="dxa"/>
          </w:tcPr>
          <w:p w14:paraId="00AA954E" w14:textId="77777777" w:rsidR="00B74375" w:rsidRPr="007C27EE" w:rsidRDefault="00B74375" w:rsidP="004B2A19">
            <w:pPr>
              <w:rPr>
                <w:rFonts w:ascii="Arial Narrow" w:hAnsi="Arial Narrow"/>
                <w:color w:val="000000" w:themeColor="text1"/>
                <w:sz w:val="20"/>
              </w:rPr>
            </w:pPr>
          </w:p>
        </w:tc>
        <w:tc>
          <w:tcPr>
            <w:tcW w:w="2767" w:type="dxa"/>
          </w:tcPr>
          <w:p w14:paraId="2B2E7F45" w14:textId="17C35F99" w:rsidR="00B74375" w:rsidRPr="007C27EE" w:rsidRDefault="00B74375" w:rsidP="004B2A19">
            <w:pPr>
              <w:rPr>
                <w:rFonts w:ascii="Arial Narrow" w:hAnsi="Arial Narrow"/>
                <w:color w:val="000000" w:themeColor="text1"/>
                <w:sz w:val="20"/>
              </w:rPr>
            </w:pPr>
            <w:r w:rsidRPr="007C27EE">
              <w:rPr>
                <w:rFonts w:ascii="Arial Narrow" w:hAnsi="Arial Narrow"/>
                <w:color w:val="000000" w:themeColor="text1"/>
                <w:sz w:val="20"/>
              </w:rPr>
              <w:t>Date de mise à jour :</w:t>
            </w:r>
          </w:p>
        </w:tc>
        <w:tc>
          <w:tcPr>
            <w:tcW w:w="1927" w:type="dxa"/>
          </w:tcPr>
          <w:p w14:paraId="31D53ACF" w14:textId="77777777" w:rsidR="00B74375" w:rsidRPr="007C27EE" w:rsidRDefault="00B74375" w:rsidP="004B2A19">
            <w:pPr>
              <w:rPr>
                <w:rFonts w:ascii="Arial Narrow" w:hAnsi="Arial Narrow"/>
                <w:b/>
                <w:color w:val="000000" w:themeColor="text1"/>
                <w:sz w:val="20"/>
              </w:rPr>
            </w:pPr>
          </w:p>
        </w:tc>
      </w:tr>
      <w:tr w:rsidR="00B74375" w:rsidRPr="00610062" w14:paraId="6CE03C32" w14:textId="77777777" w:rsidTr="004B2A19">
        <w:trPr>
          <w:trHeight w:val="476"/>
        </w:trPr>
        <w:tc>
          <w:tcPr>
            <w:tcW w:w="2019" w:type="dxa"/>
            <w:tcBorders>
              <w:bottom w:val="single" w:sz="4" w:space="0" w:color="auto"/>
            </w:tcBorders>
          </w:tcPr>
          <w:p w14:paraId="4AF260CE" w14:textId="77777777" w:rsidR="00B74375" w:rsidRPr="007C27EE" w:rsidRDefault="00B74375" w:rsidP="004B2A19">
            <w:pPr>
              <w:rPr>
                <w:rFonts w:ascii="Arial Narrow" w:hAnsi="Arial Narrow"/>
                <w:color w:val="000000" w:themeColor="text1"/>
                <w:sz w:val="20"/>
              </w:rPr>
            </w:pPr>
          </w:p>
        </w:tc>
        <w:tc>
          <w:tcPr>
            <w:tcW w:w="3330" w:type="dxa"/>
            <w:tcBorders>
              <w:bottom w:val="single" w:sz="4" w:space="0" w:color="auto"/>
            </w:tcBorders>
          </w:tcPr>
          <w:p w14:paraId="4F78A962" w14:textId="77777777" w:rsidR="00B74375" w:rsidRPr="007C27EE" w:rsidRDefault="00B74375" w:rsidP="004B2A19">
            <w:pPr>
              <w:rPr>
                <w:rFonts w:ascii="Arial Narrow" w:hAnsi="Arial Narrow"/>
                <w:color w:val="000000" w:themeColor="text1"/>
                <w:sz w:val="20"/>
              </w:rPr>
            </w:pPr>
          </w:p>
        </w:tc>
        <w:tc>
          <w:tcPr>
            <w:tcW w:w="2767" w:type="dxa"/>
            <w:tcBorders>
              <w:bottom w:val="single" w:sz="4" w:space="0" w:color="auto"/>
            </w:tcBorders>
          </w:tcPr>
          <w:p w14:paraId="6306F9AE" w14:textId="22197409" w:rsidR="00B74375" w:rsidRPr="007C27EE" w:rsidRDefault="00B74375" w:rsidP="004B2A19">
            <w:pPr>
              <w:rPr>
                <w:rFonts w:ascii="Arial Narrow" w:hAnsi="Arial Narrow"/>
                <w:color w:val="000000" w:themeColor="text1"/>
                <w:sz w:val="20"/>
              </w:rPr>
            </w:pPr>
            <w:r w:rsidRPr="007C27EE">
              <w:rPr>
                <w:rFonts w:ascii="Arial Narrow" w:hAnsi="Arial Narrow"/>
                <w:color w:val="000000" w:themeColor="text1"/>
                <w:sz w:val="20"/>
              </w:rPr>
              <w:t>Date de la prochaine révision :</w:t>
            </w:r>
            <w:r>
              <w:rPr>
                <w:rFonts w:ascii="Arial Narrow" w:hAnsi="Arial Narrow"/>
                <w:color w:val="000000" w:themeColor="text1"/>
                <w:sz w:val="20"/>
              </w:rPr>
              <w:br/>
              <w:t>18 octobre 2017</w:t>
            </w:r>
          </w:p>
        </w:tc>
        <w:tc>
          <w:tcPr>
            <w:tcW w:w="1927" w:type="dxa"/>
            <w:tcBorders>
              <w:bottom w:val="single" w:sz="4" w:space="0" w:color="auto"/>
            </w:tcBorders>
          </w:tcPr>
          <w:p w14:paraId="1DA56353" w14:textId="77777777" w:rsidR="00B74375" w:rsidRPr="007C27EE" w:rsidRDefault="00B74375" w:rsidP="004B2A19">
            <w:pPr>
              <w:rPr>
                <w:rFonts w:ascii="Arial Narrow" w:hAnsi="Arial Narrow"/>
                <w:b/>
                <w:color w:val="000000" w:themeColor="text1"/>
                <w:sz w:val="20"/>
              </w:rPr>
            </w:pPr>
          </w:p>
        </w:tc>
      </w:tr>
    </w:tbl>
    <w:p w14:paraId="15F4F45B" w14:textId="6B912DFF" w:rsidR="00896DF2" w:rsidRPr="00896DF2" w:rsidRDefault="00896DF2" w:rsidP="00896DF2">
      <w:pPr>
        <w:ind w:left="720"/>
        <w:rPr>
          <w:rFonts w:ascii="Arial Narrow" w:hAnsi="Arial Narrow"/>
          <w:b/>
          <w:bCs/>
          <w:i/>
          <w:iCs/>
          <w:sz w:val="20"/>
        </w:rPr>
      </w:pPr>
      <w:r>
        <w:rPr>
          <w:rFonts w:ascii="Arial Narrow" w:eastAsia="Times New Roman" w:hAnsi="Arial Narrow" w:cs="Times New Roman"/>
          <w:sz w:val="28"/>
          <w:szCs w:val="28"/>
        </w:rPr>
        <w:br/>
      </w:r>
      <w:r>
        <w:rPr>
          <w:rFonts w:ascii="Arial Narrow" w:eastAsia="Times New Roman" w:hAnsi="Arial Narrow" w:cs="Times New Roman"/>
          <w:b/>
          <w:bCs/>
          <w:sz w:val="28"/>
          <w:szCs w:val="28"/>
        </w:rPr>
        <w:t>NOTE AUX MEMBRES DU C.A. : LE TEXTE PROPOSÉ POUR CETTE MISE À JOUR SE RETROUVE ENTRE DOUBLES PARENTHÈSES ET EN CARACTÈRES GRAS ALORS QUE LE TEXTE ORIGINAL SUJET À RÉVISION EST SOULIGNÉ.</w:t>
      </w:r>
      <w:r>
        <w:rPr>
          <w:rFonts w:ascii="Arial Narrow" w:eastAsia="Times New Roman" w:hAnsi="Arial Narrow" w:cs="Times New Roman"/>
          <w:b/>
          <w:bCs/>
          <w:sz w:val="28"/>
          <w:szCs w:val="28"/>
        </w:rPr>
        <w:br/>
      </w:r>
      <w:r>
        <w:rPr>
          <w:rFonts w:ascii="Arial Narrow" w:eastAsia="Times New Roman" w:hAnsi="Arial Narrow" w:cs="Times New Roman"/>
          <w:b/>
          <w:bCs/>
          <w:sz w:val="28"/>
          <w:szCs w:val="28"/>
        </w:rPr>
        <w:br/>
      </w:r>
      <w:r w:rsidRPr="00896DF2">
        <w:rPr>
          <w:rFonts w:ascii="Arial Narrow" w:eastAsia="Times New Roman" w:hAnsi="Arial Narrow" w:cs="Times New Roman"/>
          <w:b/>
          <w:bCs/>
          <w:i/>
          <w:iCs/>
          <w:sz w:val="28"/>
          <w:szCs w:val="28"/>
        </w:rPr>
        <w:t>Également, veuillez noter les directives suivantes au sujet de cette politique :</w:t>
      </w:r>
      <w:r w:rsidRPr="00896DF2">
        <w:rPr>
          <w:rFonts w:ascii="Arial Narrow" w:eastAsia="Times New Roman" w:hAnsi="Arial Narrow" w:cs="Times New Roman"/>
          <w:b/>
          <w:bCs/>
          <w:i/>
          <w:iCs/>
          <w:sz w:val="28"/>
          <w:szCs w:val="28"/>
        </w:rPr>
        <w:br/>
      </w:r>
      <w:r w:rsidRPr="00896DF2">
        <w:rPr>
          <w:rFonts w:ascii="Arial Narrow" w:hAnsi="Arial Narrow"/>
          <w:b/>
          <w:bCs/>
          <w:i/>
          <w:iCs/>
          <w:sz w:val="20"/>
        </w:rPr>
        <w:t xml:space="preserve">L’énoncé de mission exprime clairement la compréhension partagée par les membres du conseil d’administration et les membres du personnel en ce qui a trait à la collectivité à desservir et au but ou à la raison d’être de la bibliothèque. Tous ceux qui agissent au sein ou au nom de la bibliothèque s’en inspirent et y trouvent les paramètres pour guider leurs actions. Cette politique garantit que l’énoncé de mission demeure toujours un élément pertinent et essentiel aux opérations de la bibliothèque.  </w:t>
      </w:r>
    </w:p>
    <w:p w14:paraId="714EFBF5" w14:textId="77777777" w:rsidR="00896DF2" w:rsidRPr="00896DF2" w:rsidRDefault="00896DF2" w:rsidP="00896DF2">
      <w:pPr>
        <w:pStyle w:val="NormalWeb"/>
        <w:ind w:left="720"/>
        <w:rPr>
          <w:rFonts w:ascii="Arial Narrow" w:hAnsi="Arial Narrow"/>
          <w:b/>
          <w:bCs/>
          <w:i/>
          <w:iCs/>
          <w:lang w:val="fr-CA"/>
        </w:rPr>
      </w:pPr>
      <w:r w:rsidRPr="00896DF2">
        <w:rPr>
          <w:rFonts w:ascii="Arial Narrow" w:hAnsi="Arial Narrow"/>
          <w:b/>
          <w:bCs/>
          <w:i/>
          <w:iCs/>
          <w:lang w:val="fr-CA"/>
        </w:rPr>
        <w:t>L’énoncé de mission est utilisé comme cadre de travail pour les prises de décisions autant par le conseil d’administration que par le personnel. Toutes les décisions stratégiques de la bibliothèque doivent appuyer la mission.</w:t>
      </w:r>
    </w:p>
    <w:p w14:paraId="7E24C8FB" w14:textId="77777777" w:rsidR="00896DF2" w:rsidRPr="00896DF2" w:rsidRDefault="00896DF2" w:rsidP="00896DF2">
      <w:pPr>
        <w:pStyle w:val="NormalWeb"/>
        <w:numPr>
          <w:ilvl w:val="0"/>
          <w:numId w:val="1"/>
        </w:numPr>
        <w:rPr>
          <w:rFonts w:ascii="Arial Narrow" w:hAnsi="Arial Narrow"/>
          <w:b/>
          <w:bCs/>
          <w:i/>
          <w:iCs/>
          <w:lang w:val="fr-CA"/>
        </w:rPr>
      </w:pPr>
      <w:r w:rsidRPr="00896DF2">
        <w:rPr>
          <w:rFonts w:ascii="Arial Narrow" w:hAnsi="Arial Narrow"/>
          <w:b/>
          <w:bCs/>
          <w:i/>
          <w:iCs/>
          <w:lang w:val="fr-CA"/>
        </w:rPr>
        <w:t xml:space="preserve">L’élaboration, la révision ou la modification de l’énoncé de mission par le conseil d’administration sont des parties intégrantes du cycle de planification de la bibliothèque. </w:t>
      </w:r>
      <w:r w:rsidRPr="00896DF2">
        <w:rPr>
          <w:rFonts w:ascii="Arial Narrow" w:hAnsi="Arial Narrow"/>
          <w:b/>
          <w:bCs/>
          <w:i/>
          <w:iCs/>
          <w:lang w:val="fr-CA"/>
        </w:rPr>
        <w:br/>
      </w:r>
    </w:p>
    <w:p w14:paraId="643F4370" w14:textId="67AE9672" w:rsidR="00896DF2" w:rsidRPr="00896DF2" w:rsidRDefault="00896DF2" w:rsidP="00896DF2">
      <w:pPr>
        <w:pStyle w:val="NormalWeb"/>
        <w:numPr>
          <w:ilvl w:val="0"/>
          <w:numId w:val="1"/>
        </w:numPr>
        <w:rPr>
          <w:rFonts w:ascii="Arial Narrow" w:hAnsi="Arial Narrow" w:cs="PalatinoLinotype-Roman"/>
          <w:b/>
          <w:bCs/>
          <w:i/>
          <w:iCs/>
          <w:lang w:val="fr-CA"/>
        </w:rPr>
      </w:pPr>
      <w:r w:rsidRPr="00896DF2">
        <w:rPr>
          <w:rFonts w:ascii="Arial Narrow" w:hAnsi="Arial Narrow"/>
          <w:b/>
          <w:bCs/>
          <w:i/>
          <w:iCs/>
          <w:lang w:val="fr-CA"/>
        </w:rPr>
        <w:t xml:space="preserve">L’énoncé de mission de la Bibliothèque publique de </w:t>
      </w:r>
      <w:proofErr w:type="spellStart"/>
      <w:r>
        <w:rPr>
          <w:rFonts w:ascii="Arial Narrow" w:hAnsi="Arial Narrow"/>
          <w:b/>
          <w:bCs/>
          <w:i/>
          <w:iCs/>
          <w:lang w:val="fr-CA"/>
        </w:rPr>
        <w:t>Casselman</w:t>
      </w:r>
      <w:proofErr w:type="spellEnd"/>
      <w:r w:rsidRPr="00896DF2">
        <w:rPr>
          <w:rFonts w:ascii="Arial Narrow" w:hAnsi="Arial Narrow"/>
          <w:b/>
          <w:bCs/>
          <w:i/>
          <w:iCs/>
          <w:lang w:val="fr-CA"/>
        </w:rPr>
        <w:t xml:space="preserve"> doit :</w:t>
      </w:r>
      <w:r w:rsidRPr="00896DF2">
        <w:rPr>
          <w:rFonts w:ascii="Arial Narrow" w:hAnsi="Arial Narrow"/>
          <w:b/>
          <w:bCs/>
          <w:i/>
          <w:iCs/>
          <w:lang w:val="fr-CA"/>
        </w:rPr>
        <w:br/>
      </w:r>
    </w:p>
    <w:p w14:paraId="6A0AFC12" w14:textId="77777777" w:rsidR="00896DF2" w:rsidRPr="00896DF2" w:rsidRDefault="00896DF2" w:rsidP="00896DF2">
      <w:pPr>
        <w:pStyle w:val="NormalWeb"/>
        <w:numPr>
          <w:ilvl w:val="2"/>
          <w:numId w:val="1"/>
        </w:numPr>
        <w:tabs>
          <w:tab w:val="clear" w:pos="1980"/>
          <w:tab w:val="num" w:pos="1080"/>
        </w:tabs>
        <w:ind w:left="1080" w:firstLine="0"/>
        <w:rPr>
          <w:rFonts w:ascii="Arial Narrow" w:hAnsi="Arial Narrow" w:cs="PalatinoLinotype-Roman"/>
          <w:b/>
          <w:bCs/>
          <w:i/>
          <w:iCs/>
          <w:lang w:val="fr-CA"/>
        </w:rPr>
      </w:pPr>
      <w:proofErr w:type="gramStart"/>
      <w:r w:rsidRPr="00896DF2">
        <w:rPr>
          <w:rFonts w:ascii="Arial Narrow" w:hAnsi="Arial Narrow" w:cs="PalatinoLinotype-Roman"/>
          <w:b/>
          <w:bCs/>
          <w:i/>
          <w:iCs/>
          <w:lang w:val="fr-CA"/>
        </w:rPr>
        <w:t>être</w:t>
      </w:r>
      <w:proofErr w:type="gramEnd"/>
      <w:r w:rsidRPr="00896DF2">
        <w:rPr>
          <w:rFonts w:ascii="Arial Narrow" w:hAnsi="Arial Narrow" w:cs="PalatinoLinotype-Roman"/>
          <w:b/>
          <w:bCs/>
          <w:i/>
          <w:iCs/>
          <w:lang w:val="fr-CA"/>
        </w:rPr>
        <w:t xml:space="preserve"> bref, clair et concis</w:t>
      </w:r>
    </w:p>
    <w:p w14:paraId="42753D51" w14:textId="77777777" w:rsidR="00896DF2" w:rsidRPr="00896DF2" w:rsidRDefault="00896DF2" w:rsidP="00896DF2">
      <w:pPr>
        <w:pStyle w:val="NormalWeb"/>
        <w:numPr>
          <w:ilvl w:val="2"/>
          <w:numId w:val="1"/>
        </w:numPr>
        <w:tabs>
          <w:tab w:val="clear" w:pos="1980"/>
          <w:tab w:val="num" w:pos="1080"/>
        </w:tabs>
        <w:ind w:left="1080" w:firstLine="0"/>
        <w:rPr>
          <w:rFonts w:ascii="Arial Narrow" w:hAnsi="Arial Narrow" w:cs="PalatinoLinotype-Roman"/>
          <w:b/>
          <w:bCs/>
          <w:i/>
          <w:iCs/>
          <w:lang w:val="fr-CA"/>
        </w:rPr>
      </w:pPr>
      <w:proofErr w:type="gramStart"/>
      <w:r w:rsidRPr="00896DF2">
        <w:rPr>
          <w:rFonts w:ascii="Arial Narrow" w:hAnsi="Arial Narrow"/>
          <w:b/>
          <w:bCs/>
          <w:i/>
          <w:iCs/>
          <w:lang w:val="fr-CA"/>
        </w:rPr>
        <w:t>être</w:t>
      </w:r>
      <w:proofErr w:type="gramEnd"/>
      <w:r w:rsidRPr="00896DF2">
        <w:rPr>
          <w:rFonts w:ascii="Arial Narrow" w:hAnsi="Arial Narrow"/>
          <w:b/>
          <w:bCs/>
          <w:i/>
          <w:iCs/>
          <w:lang w:val="fr-CA"/>
        </w:rPr>
        <w:t xml:space="preserve"> cohérent avec l’orientation choisie pour l’avenir de la bibliothèque</w:t>
      </w:r>
    </w:p>
    <w:p w14:paraId="26BE3328" w14:textId="77777777" w:rsidR="00896DF2" w:rsidRPr="00896DF2" w:rsidRDefault="00896DF2" w:rsidP="00896DF2">
      <w:pPr>
        <w:pStyle w:val="NormalWeb"/>
        <w:numPr>
          <w:ilvl w:val="2"/>
          <w:numId w:val="1"/>
        </w:numPr>
        <w:tabs>
          <w:tab w:val="clear" w:pos="1980"/>
          <w:tab w:val="num" w:pos="1080"/>
        </w:tabs>
        <w:ind w:left="1080" w:firstLine="0"/>
        <w:rPr>
          <w:rFonts w:ascii="Arial Narrow" w:hAnsi="Arial Narrow" w:cs="PalatinoLinotype-Roman"/>
          <w:b/>
          <w:bCs/>
          <w:i/>
          <w:iCs/>
          <w:lang w:val="fr-CA"/>
        </w:rPr>
      </w:pPr>
      <w:proofErr w:type="gramStart"/>
      <w:r w:rsidRPr="00896DF2">
        <w:rPr>
          <w:rFonts w:ascii="Arial Narrow" w:hAnsi="Arial Narrow"/>
          <w:b/>
          <w:bCs/>
          <w:i/>
          <w:iCs/>
          <w:lang w:val="fr-CA"/>
        </w:rPr>
        <w:t>être</w:t>
      </w:r>
      <w:proofErr w:type="gramEnd"/>
      <w:r w:rsidRPr="00896DF2">
        <w:rPr>
          <w:rFonts w:ascii="Arial Narrow" w:hAnsi="Arial Narrow"/>
          <w:b/>
          <w:bCs/>
          <w:i/>
          <w:iCs/>
          <w:lang w:val="fr-CA"/>
        </w:rPr>
        <w:t xml:space="preserve"> facilement compris autant par le personnel de la bibliothèque que par le public en général</w:t>
      </w:r>
    </w:p>
    <w:p w14:paraId="69BD3A21" w14:textId="77777777" w:rsidR="00896DF2" w:rsidRPr="00896DF2" w:rsidRDefault="00896DF2" w:rsidP="00896DF2">
      <w:pPr>
        <w:pStyle w:val="NormalWeb"/>
        <w:numPr>
          <w:ilvl w:val="2"/>
          <w:numId w:val="1"/>
        </w:numPr>
        <w:tabs>
          <w:tab w:val="clear" w:pos="1980"/>
          <w:tab w:val="num" w:pos="1080"/>
        </w:tabs>
        <w:ind w:left="1080" w:firstLine="0"/>
        <w:rPr>
          <w:rFonts w:ascii="Arial Narrow" w:hAnsi="Arial Narrow" w:cs="PalatinoLinotype-Roman"/>
          <w:b/>
          <w:bCs/>
          <w:i/>
          <w:iCs/>
          <w:lang w:val="fr-CA"/>
        </w:rPr>
      </w:pPr>
      <w:proofErr w:type="gramStart"/>
      <w:r w:rsidRPr="00896DF2">
        <w:rPr>
          <w:rFonts w:ascii="Arial Narrow" w:hAnsi="Arial Narrow" w:cs="PalatinoLinotype-Roman"/>
          <w:b/>
          <w:bCs/>
          <w:i/>
          <w:iCs/>
          <w:lang w:val="fr-CA"/>
        </w:rPr>
        <w:t>guider</w:t>
      </w:r>
      <w:proofErr w:type="gramEnd"/>
      <w:r w:rsidRPr="00896DF2">
        <w:rPr>
          <w:rFonts w:ascii="Arial Narrow" w:hAnsi="Arial Narrow" w:cs="PalatinoLinotype-Roman"/>
          <w:b/>
          <w:bCs/>
          <w:i/>
          <w:iCs/>
          <w:lang w:val="fr-CA"/>
        </w:rPr>
        <w:t xml:space="preserve"> les actions des membres du conseil d’administration et du personnel </w:t>
      </w:r>
    </w:p>
    <w:p w14:paraId="01879BAF" w14:textId="58A5E436" w:rsidR="00896DF2" w:rsidRDefault="00896DF2" w:rsidP="00896DF2">
      <w:pPr>
        <w:pStyle w:val="NormalWeb"/>
        <w:ind w:firstLine="720"/>
        <w:jc w:val="center"/>
        <w:rPr>
          <w:rFonts w:ascii="Arial Narrow" w:hAnsi="Arial Narrow"/>
          <w:sz w:val="28"/>
          <w:szCs w:val="28"/>
          <w:lang w:val="fr-CA"/>
        </w:rPr>
      </w:pPr>
    </w:p>
    <w:p w14:paraId="6F30CB5F" w14:textId="3DF700F6" w:rsidR="00896DF2" w:rsidRDefault="00896DF2" w:rsidP="00896DF2">
      <w:pPr>
        <w:pStyle w:val="NormalWeb"/>
        <w:ind w:firstLine="720"/>
        <w:jc w:val="center"/>
        <w:rPr>
          <w:rFonts w:ascii="Arial Narrow" w:hAnsi="Arial Narrow"/>
          <w:sz w:val="28"/>
          <w:szCs w:val="28"/>
          <w:lang w:val="fr-CA"/>
        </w:rPr>
      </w:pPr>
    </w:p>
    <w:p w14:paraId="47ECA42D" w14:textId="5C631EC6" w:rsidR="00896DF2" w:rsidRDefault="00896DF2" w:rsidP="00896DF2">
      <w:pPr>
        <w:pStyle w:val="NormalWeb"/>
        <w:ind w:firstLine="720"/>
        <w:jc w:val="center"/>
        <w:rPr>
          <w:rFonts w:ascii="Arial Narrow" w:hAnsi="Arial Narrow"/>
          <w:sz w:val="28"/>
          <w:szCs w:val="28"/>
          <w:lang w:val="fr-CA"/>
        </w:rPr>
      </w:pPr>
    </w:p>
    <w:p w14:paraId="61A07642" w14:textId="77777777" w:rsidR="00896DF2" w:rsidRPr="0082220E" w:rsidRDefault="00896DF2" w:rsidP="00896DF2">
      <w:pPr>
        <w:pStyle w:val="NormalWeb"/>
        <w:ind w:firstLine="720"/>
        <w:jc w:val="center"/>
        <w:rPr>
          <w:rFonts w:ascii="Arial Narrow" w:hAnsi="Arial Narrow"/>
          <w:sz w:val="28"/>
          <w:szCs w:val="28"/>
          <w:lang w:val="fr-CA"/>
        </w:rPr>
      </w:pPr>
    </w:p>
    <w:p w14:paraId="070DC238" w14:textId="5D266F4A" w:rsidR="00896DF2" w:rsidRPr="00896DF2" w:rsidRDefault="00896DF2" w:rsidP="00896DF2">
      <w:pPr>
        <w:pStyle w:val="NormalWeb"/>
        <w:rPr>
          <w:rFonts w:ascii="Arial Narrow" w:hAnsi="Arial Narrow"/>
          <w:sz w:val="28"/>
          <w:szCs w:val="28"/>
          <w:lang w:val="fr-CA"/>
        </w:rPr>
      </w:pPr>
      <w:r w:rsidRPr="0082220E">
        <w:rPr>
          <w:rFonts w:ascii="Arial Narrow" w:hAnsi="Arial Narrow"/>
          <w:sz w:val="28"/>
          <w:szCs w:val="28"/>
          <w:lang w:val="fr-CA"/>
        </w:rPr>
        <w:t>Énoncé de mission de la Bibliothèque publique de</w:t>
      </w:r>
      <w:r>
        <w:rPr>
          <w:rFonts w:ascii="Arial Narrow" w:hAnsi="Arial Narrow"/>
          <w:sz w:val="28"/>
          <w:szCs w:val="28"/>
          <w:lang w:val="fr-CA"/>
        </w:rPr>
        <w:t xml:space="preserve"> </w:t>
      </w:r>
      <w:proofErr w:type="spellStart"/>
      <w:r>
        <w:rPr>
          <w:rFonts w:ascii="Arial Narrow" w:hAnsi="Arial Narrow"/>
          <w:sz w:val="28"/>
          <w:szCs w:val="28"/>
          <w:lang w:val="fr-CA"/>
        </w:rPr>
        <w:t>Casselman</w:t>
      </w:r>
      <w:proofErr w:type="spellEnd"/>
      <w:r w:rsidRPr="0082220E">
        <w:rPr>
          <w:rFonts w:ascii="Arial Narrow" w:hAnsi="Arial Narrow"/>
          <w:sz w:val="28"/>
          <w:szCs w:val="28"/>
          <w:lang w:val="fr-CA"/>
        </w:rPr>
        <w:t xml:space="preserve"> </w:t>
      </w:r>
      <w:r>
        <w:rPr>
          <w:rFonts w:ascii="Arial Narrow" w:hAnsi="Arial Narrow"/>
          <w:sz w:val="28"/>
          <w:szCs w:val="28"/>
          <w:lang w:val="fr-CA"/>
        </w:rPr>
        <w:br/>
      </w:r>
      <w:r>
        <w:rPr>
          <w:rFonts w:ascii="Arial Narrow" w:hAnsi="Arial Narrow"/>
          <w:sz w:val="28"/>
          <w:szCs w:val="28"/>
          <w:lang w:val="fr-CA"/>
        </w:rPr>
        <w:br/>
      </w:r>
      <w:r>
        <w:rPr>
          <w:sz w:val="24"/>
          <w:szCs w:val="24"/>
        </w:rPr>
        <w:br/>
      </w:r>
      <w:r w:rsidRPr="00896DF2">
        <w:rPr>
          <w:sz w:val="24"/>
          <w:szCs w:val="24"/>
          <w:lang w:val="fr-CA"/>
        </w:rPr>
        <w:t xml:space="preserve">La Bibliothèque publique de </w:t>
      </w:r>
      <w:proofErr w:type="spellStart"/>
      <w:r w:rsidRPr="00896DF2">
        <w:rPr>
          <w:sz w:val="24"/>
          <w:szCs w:val="24"/>
          <w:lang w:val="fr-CA"/>
        </w:rPr>
        <w:t>Casselman</w:t>
      </w:r>
      <w:proofErr w:type="spellEnd"/>
      <w:r w:rsidRPr="00896DF2">
        <w:rPr>
          <w:sz w:val="24"/>
          <w:szCs w:val="24"/>
          <w:lang w:val="fr-CA"/>
        </w:rPr>
        <w:t xml:space="preserve"> s’engage à favoriser un milieu bilingue propice à l’apprentissage et à l’épanouissement de ses membres. Les usagers provenant de la communauté ainsi que des régions environnantes y trouveront un milieu chaleureux </w:t>
      </w:r>
      <w:r>
        <w:rPr>
          <w:b/>
          <w:bCs/>
          <w:sz w:val="24"/>
          <w:szCs w:val="24"/>
        </w:rPr>
        <w:t xml:space="preserve">((ajout : et équitable à l’information et aux idées qui stimulent à la fois l’imagination et le questionnement par l’entremise de la littérature et de la référence)) </w:t>
      </w:r>
      <w:r w:rsidRPr="00896DF2">
        <w:rPr>
          <w:sz w:val="24"/>
          <w:szCs w:val="24"/>
          <w:lang w:val="fr-CA"/>
        </w:rPr>
        <w:t>permettant l’enrichissement intellectuel et social de chacun.</w:t>
      </w:r>
    </w:p>
    <w:p w14:paraId="2CEEF6FC" w14:textId="35E08EE6" w:rsidR="00896DF2" w:rsidRDefault="00896DF2" w:rsidP="009D1C0D">
      <w:pPr>
        <w:rPr>
          <w:sz w:val="24"/>
          <w:szCs w:val="24"/>
        </w:rPr>
      </w:pPr>
    </w:p>
    <w:p w14:paraId="70F7A4FB" w14:textId="77777777" w:rsidR="00896DF2" w:rsidRDefault="00896DF2" w:rsidP="009D1C0D">
      <w:pPr>
        <w:rPr>
          <w:rFonts w:ascii="Arial" w:hAnsi="Arial" w:cs="Arial"/>
          <w:sz w:val="20"/>
          <w:szCs w:val="20"/>
        </w:rPr>
      </w:pPr>
    </w:p>
    <w:p w14:paraId="62AC7092" w14:textId="77777777" w:rsidR="00896DF2" w:rsidRDefault="00896DF2" w:rsidP="009D1C0D">
      <w:pPr>
        <w:rPr>
          <w:rFonts w:ascii="Arial" w:hAnsi="Arial" w:cs="Arial"/>
          <w:sz w:val="20"/>
          <w:szCs w:val="20"/>
        </w:rPr>
      </w:pPr>
    </w:p>
    <w:p w14:paraId="62A385E5" w14:textId="77777777" w:rsidR="00FF3022" w:rsidRDefault="00FF3022" w:rsidP="009D1C0D">
      <w:pPr>
        <w:rPr>
          <w:sz w:val="24"/>
          <w:szCs w:val="24"/>
        </w:rPr>
      </w:pPr>
    </w:p>
    <w:p w14:paraId="36549DC0" w14:textId="77777777" w:rsidR="00FF3022" w:rsidRPr="001B20F8" w:rsidRDefault="00FF3022" w:rsidP="009D1C0D">
      <w:pPr>
        <w:rPr>
          <w:rFonts w:ascii="Calibri" w:hAnsi="Calibri" w:cs="Calibri"/>
          <w:b/>
          <w:sz w:val="24"/>
          <w:szCs w:val="24"/>
        </w:rPr>
      </w:pPr>
    </w:p>
    <w:sectPr w:rsidR="00FF3022" w:rsidRPr="001B20F8" w:rsidSect="00F202BA">
      <w:pgSz w:w="12240" w:h="15840"/>
      <w:pgMar w:top="709"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alatinoLinotype-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143A"/>
    <w:multiLevelType w:val="hybridMultilevel"/>
    <w:tmpl w:val="A1D28A1A"/>
    <w:lvl w:ilvl="0" w:tplc="0409000F">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080"/>
        </w:tabs>
        <w:ind w:left="1080" w:hanging="360"/>
      </w:pPr>
    </w:lvl>
    <w:lvl w:ilvl="2" w:tplc="1450AEBC">
      <w:start w:val="1"/>
      <w:numFmt w:val="lowerLetter"/>
      <w:lvlText w:val="%3)"/>
      <w:lvlJc w:val="left"/>
      <w:pPr>
        <w:tabs>
          <w:tab w:val="num" w:pos="1980"/>
        </w:tabs>
        <w:ind w:left="1980" w:hanging="36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0D"/>
    <w:rsid w:val="0003735E"/>
    <w:rsid w:val="000E0B63"/>
    <w:rsid w:val="00126779"/>
    <w:rsid w:val="001B20F8"/>
    <w:rsid w:val="001C066B"/>
    <w:rsid w:val="001D426B"/>
    <w:rsid w:val="00204930"/>
    <w:rsid w:val="00305D17"/>
    <w:rsid w:val="005C551C"/>
    <w:rsid w:val="006B57A8"/>
    <w:rsid w:val="00896DF2"/>
    <w:rsid w:val="009D1C0D"/>
    <w:rsid w:val="00AF2F8F"/>
    <w:rsid w:val="00B02A12"/>
    <w:rsid w:val="00B36C33"/>
    <w:rsid w:val="00B74375"/>
    <w:rsid w:val="00F036CC"/>
    <w:rsid w:val="00F202BA"/>
    <w:rsid w:val="00F72204"/>
    <w:rsid w:val="00FF3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6A88"/>
  <w15:docId w15:val="{92DF025B-0967-8144-968C-E0EBF71A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1C0D"/>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9D1C0D"/>
    <w:rPr>
      <w:i/>
      <w:iCs/>
      <w:color w:val="808080" w:themeColor="text1" w:themeTint="7F"/>
    </w:rPr>
  </w:style>
  <w:style w:type="paragraph" w:styleId="BalloonText">
    <w:name w:val="Balloon Text"/>
    <w:basedOn w:val="Normal"/>
    <w:link w:val="BalloonTextChar"/>
    <w:uiPriority w:val="99"/>
    <w:semiHidden/>
    <w:unhideWhenUsed/>
    <w:rsid w:val="009D1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C0D"/>
    <w:rPr>
      <w:rFonts w:ascii="Tahoma" w:hAnsi="Tahoma" w:cs="Tahoma"/>
      <w:sz w:val="16"/>
      <w:szCs w:val="16"/>
    </w:rPr>
  </w:style>
  <w:style w:type="paragraph" w:styleId="NormalWeb">
    <w:name w:val="Normal (Web)"/>
    <w:basedOn w:val="Normal"/>
    <w:rsid w:val="001D426B"/>
    <w:pPr>
      <w:spacing w:before="100" w:beforeAutospacing="1" w:after="100" w:afterAutospacing="1"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18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2016-06-16T19:33:00Z</cp:lastPrinted>
  <dcterms:created xsi:type="dcterms:W3CDTF">2021-05-18T17:55:00Z</dcterms:created>
  <dcterms:modified xsi:type="dcterms:W3CDTF">2021-05-18T17:55:00Z</dcterms:modified>
</cp:coreProperties>
</file>